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rFonts w:ascii="黑体" w:hAnsi="黑体" w:eastAsia="黑体"/>
          <w:b/>
          <w:sz w:val="44"/>
        </w:rPr>
        <w:t>基于LSTM与Transformer的沥青路面IRI预测研究</w:t>
      </w:r>
    </w:p>
    <w:p>
      <w:pPr>
        <w:spacing w:after="80"/>
        <w:jc w:val="center"/>
      </w:pPr>
      <w:r>
        <w:rPr>
          <w:rFonts w:ascii="宋体" w:hAnsi="宋体" w:eastAsia="宋体"/>
          <w:color w:val="666666"/>
          <w:sz w:val="24"/>
        </w:rPr>
        <w:t>—— 阶段性成果汇报</w:t>
      </w:r>
    </w:p>
    <w:p>
      <w:pPr>
        <w:spacing w:after="80"/>
        <w:jc w:val="center"/>
      </w:pPr>
      <w:r>
        <w:rPr>
          <w:rFonts w:ascii="宋体" w:hAnsi="宋体" w:eastAsia="宋体"/>
          <w:color w:val="666666"/>
          <w:sz w:val="24"/>
        </w:rPr>
        <w:t>研究生：XXX　　指导教师：XXX 教授</w:t>
      </w:r>
    </w:p>
    <w:p>
      <w:pPr>
        <w:spacing w:after="80"/>
        <w:jc w:val="center"/>
      </w:pPr>
      <w:r>
        <w:rPr>
          <w:rFonts w:ascii="宋体" w:hAnsi="宋体" w:eastAsia="宋体"/>
          <w:color w:val="666666"/>
          <w:sz w:val="24"/>
        </w:rPr>
        <w:t>2026年5月</w:t>
      </w:r>
    </w:p>
    <w:p/>
    <w:p>
      <w:pPr>
        <w:pStyle w:val="Heading1"/>
      </w:pPr>
      <w:r>
        <w:rPr>
          <w:rFonts w:ascii="黑体" w:hAnsi="黑体" w:eastAsia="黑体"/>
          <w:sz w:val="32"/>
        </w:rPr>
        <w:t>一、研究背景与目标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1. 研究背景</w:t>
      </w:r>
    </w:p>
    <w:p>
      <w:pPr>
        <w:pStyle w:val="ListBullet"/>
      </w:pPr>
      <w:r>
        <w:rPr>
          <w:rFonts w:ascii="宋体" w:hAnsi="宋体" w:eastAsia="宋体"/>
          <w:sz w:val="22"/>
        </w:rPr>
        <w:t>IRI（国际平整度指数）是评价路面行驶质量的核心指标，直接关系到养护决策的科学性</w:t>
      </w:r>
    </w:p>
    <w:p>
      <w:pPr>
        <w:pStyle w:val="ListBullet"/>
      </w:pPr>
      <w:r>
        <w:rPr>
          <w:rFonts w:ascii="宋体" w:hAnsi="宋体" w:eastAsia="宋体"/>
          <w:sz w:val="22"/>
        </w:rPr>
        <w:t>传统预测方法（经验回归、马尔可夫链等）难以刻画IRI退化的非线性和多因素耦合特征</w:t>
      </w:r>
    </w:p>
    <w:p>
      <w:pPr>
        <w:pStyle w:val="ListBullet"/>
      </w:pPr>
      <w:r>
        <w:rPr>
          <w:rFonts w:ascii="宋体" w:hAnsi="宋体" w:eastAsia="宋体"/>
          <w:sz w:val="22"/>
        </w:rPr>
        <w:t>LSTM和Transformer作为两种主流深度学习架构，在时序预测领域各有优势，但在路面工程中缺乏系统性对比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2. 研究目标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目标1：</w:t>
      </w:r>
      <w:r>
        <w:rPr>
          <w:rFonts w:ascii="宋体" w:hAnsi="宋体" w:eastAsia="宋体"/>
          <w:sz w:val="22"/>
        </w:rPr>
        <w:t>建立LSTM与Transformer在IRI预测中的系统性对比框架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目标2：</w:t>
      </w:r>
      <w:r>
        <w:rPr>
          <w:rFonts w:ascii="宋体" w:hAnsi="宋体" w:eastAsia="宋体"/>
          <w:sz w:val="22"/>
        </w:rPr>
        <w:t>通过SHAP+消融实验揭示各类工程因素对IRI退化的贡献度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>目标3：</w:t>
      </w:r>
      <w:r>
        <w:rPr>
          <w:rFonts w:ascii="宋体" w:hAnsi="宋体" w:eastAsia="宋体"/>
          <w:sz w:val="22"/>
        </w:rPr>
        <w:t>为深度学习在路面性能预测中的应用提供参考依据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sz w:val="32"/>
        </w:rPr>
        <w:t>二、数据概况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数据来源：美国LTPP（Long-Term Pavement Performance）数据库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0"/>
        </w:rPr>
        <w:t>表1  数据集概况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数据时间跨度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1989—2024年（35年）</w:t>
            </w:r>
          </w:p>
        </w:tc>
      </w:tr>
      <w:tr>
        <w:tc>
          <w:tcPr>
            <w:tcW w:type="dxa" w:w="470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原始IRI记录</w:t>
            </w:r>
          </w:p>
        </w:tc>
        <w:tc>
          <w:tcPr>
            <w:tcW w:type="dxa" w:w="470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约15.5万条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构建序列后样本量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约30.3万个</w:t>
            </w:r>
          </w:p>
        </w:tc>
      </w:tr>
      <w:tr>
        <w:tc>
          <w:tcPr>
            <w:tcW w:type="dxa" w:w="470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唯一路段数</w:t>
            </w:r>
          </w:p>
        </w:tc>
        <w:tc>
          <w:tcPr>
            <w:tcW w:type="dxa" w:w="470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1026个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特征维度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19维（时序3 + 气候8 + 结构5 + 地理3）</w:t>
            </w:r>
          </w:p>
        </w:tc>
      </w:tr>
      <w:tr>
        <w:tc>
          <w:tcPr>
            <w:tcW w:type="dxa" w:w="470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目标变量</w:t>
            </w:r>
          </w:p>
        </w:tc>
        <w:tc>
          <w:tcPr>
            <w:tcW w:type="dxa" w:w="470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MRI（路面平整度指数，m/km）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预测模式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滑动窗口SEQ_LEN=5，用前5年预测第6年</w:t>
            </w:r>
          </w:p>
        </w:tc>
      </w:tr>
    </w:tbl>
    <w:p/>
    <w:p>
      <w:pPr>
        <w:spacing w:after="80" w:line="312" w:lineRule="auto"/>
      </w:pPr>
      <w:r>
        <w:rPr>
          <w:rFonts w:ascii="宋体" w:hAnsi="宋体" w:eastAsia="宋体"/>
          <w:b/>
          <w:sz w:val="22"/>
        </w:rPr>
        <w:t>特征体系说明：</w:t>
      </w:r>
    </w:p>
    <w:p>
      <w:pPr>
        <w:pStyle w:val="ListBullet"/>
      </w:pPr>
      <w:r>
        <w:rPr>
          <w:rFonts w:ascii="宋体" w:hAnsi="宋体" w:eastAsia="宋体"/>
          <w:sz w:val="22"/>
        </w:rPr>
        <w:t>时序特征（3维）：路面龄期 + 前两年IRI滞后值</w:t>
      </w:r>
    </w:p>
    <w:p>
      <w:pPr>
        <w:pStyle w:val="ListBullet"/>
      </w:pPr>
      <w:r>
        <w:rPr>
          <w:rFonts w:ascii="宋体" w:hAnsi="宋体" w:eastAsia="宋体"/>
          <w:sz w:val="22"/>
        </w:rPr>
        <w:t>气候特征（8维）：度日数、极端温度、冻融指标、降水量、蒸发量</w:t>
      </w:r>
    </w:p>
    <w:p>
      <w:pPr>
        <w:pStyle w:val="ListBullet"/>
      </w:pPr>
      <w:r>
        <w:rPr>
          <w:rFonts w:ascii="宋体" w:hAnsi="宋体" w:eastAsia="宋体"/>
          <w:sz w:val="22"/>
        </w:rPr>
        <w:t>结构特征（5维）：总厚度、沥青层厚度、基层厚度、层数、路面结构类型</w:t>
      </w:r>
    </w:p>
    <w:p>
      <w:pPr>
        <w:pStyle w:val="ListBullet"/>
      </w:pPr>
      <w:r>
        <w:rPr>
          <w:rFonts w:ascii="宋体" w:hAnsi="宋体" w:eastAsia="宋体"/>
          <w:sz w:val="22"/>
        </w:rPr>
        <w:t>地理特征（3维）：纬度、经度、海拔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sz w:val="32"/>
        </w:rPr>
        <w:t>三、研究方法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1. LSTM模型</w:t>
      </w:r>
    </w:p>
    <w:p>
      <w:pPr>
        <w:pStyle w:val="ListBullet"/>
      </w:pPr>
      <w:r>
        <w:rPr>
          <w:rFonts w:ascii="宋体" w:hAnsi="宋体" w:eastAsia="宋体"/>
          <w:sz w:val="22"/>
        </w:rPr>
        <w:t>架构：双层LSTM（128→128隐藏维）+ 全连接层（128→64→1）</w:t>
      </w:r>
    </w:p>
    <w:p>
      <w:pPr>
        <w:pStyle w:val="ListBullet"/>
      </w:pPr>
      <w:r>
        <w:rPr>
          <w:rFonts w:ascii="宋体" w:hAnsi="宋体" w:eastAsia="宋体"/>
          <w:sz w:val="22"/>
        </w:rPr>
        <w:t>参数量：约67K（轻量级）</w:t>
      </w:r>
    </w:p>
    <w:p>
      <w:pPr>
        <w:pStyle w:val="ListBullet"/>
      </w:pPr>
      <w:r>
        <w:rPr>
          <w:rFonts w:ascii="宋体" w:hAnsi="宋体" w:eastAsia="宋体"/>
          <w:sz w:val="22"/>
        </w:rPr>
        <w:t>超参数：HIDDEN_DIM=128, NUM_LAYERS=2, DROPOUT=0.1, BATCH_SIZE=128</w:t>
      </w:r>
    </w:p>
    <w:p>
      <w:pPr>
        <w:pStyle w:val="ListBullet"/>
      </w:pPr>
      <w:r>
        <w:rPr>
          <w:rFonts w:ascii="宋体" w:hAnsi="宋体" w:eastAsia="宋体"/>
          <w:sz w:val="22"/>
        </w:rPr>
        <w:t>优化：Adam + ReduceLROnPlateau + 早停（patience=30）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2. Transformer模型</w:t>
      </w:r>
    </w:p>
    <w:p>
      <w:pPr>
        <w:pStyle w:val="ListBullet"/>
      </w:pPr>
      <w:r>
        <w:rPr>
          <w:rFonts w:ascii="宋体" w:hAnsi="宋体" w:eastAsia="宋体"/>
          <w:sz w:val="22"/>
        </w:rPr>
        <w:t>架构：输入投影→[CLS]标记→位置编码→1层编码器（8头）→输出层</w:t>
      </w:r>
    </w:p>
    <w:p>
      <w:pPr>
        <w:pStyle w:val="ListBullet"/>
      </w:pPr>
      <w:r>
        <w:rPr>
          <w:rFonts w:ascii="宋体" w:hAnsi="宋体" w:eastAsia="宋体"/>
          <w:sz w:val="22"/>
        </w:rPr>
        <w:t>参数量：约566K（LSTM的8.5倍）</w:t>
      </w:r>
    </w:p>
    <w:p>
      <w:pPr>
        <w:pStyle w:val="ListBullet"/>
      </w:pPr>
      <w:r>
        <w:rPr>
          <w:rFonts w:ascii="宋体" w:hAnsi="宋体" w:eastAsia="宋体"/>
          <w:sz w:val="22"/>
        </w:rPr>
        <w:t>超参数：TRANSFORMER_DIM=256, NUM_HEADS=8, FF_DIM=512, DROPOUT=0.3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3. 可解释性分析体系</w:t>
      </w:r>
    </w:p>
    <w:p>
      <w:pPr>
        <w:pStyle w:val="ListBullet"/>
      </w:pPr>
      <w:r>
        <w:rPr>
          <w:rFonts w:ascii="宋体" w:hAnsi="宋体" w:eastAsia="宋体"/>
          <w:sz w:val="22"/>
        </w:rPr>
        <w:t>SHAP分析：量化单个特征对预测的边际贡献（特征粒度）</w:t>
      </w:r>
    </w:p>
    <w:p>
      <w:pPr>
        <w:pStyle w:val="ListBullet"/>
      </w:pPr>
      <w:r>
        <w:rPr>
          <w:rFonts w:ascii="宋体" w:hAnsi="宋体" w:eastAsia="宋体"/>
          <w:sz w:val="22"/>
        </w:rPr>
        <w:t>消融实验：5组实验，验证特征类别的增量贡献（类别粒度）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sz w:val="32"/>
        </w:rPr>
        <w:t>四、核心结果</w:t>
      </w:r>
    </w:p>
    <w:p>
      <w:pPr>
        <w:pStyle w:val="Heading2"/>
      </w:pPr>
      <w:r>
        <w:rPr>
          <w:rFonts w:ascii="黑体" w:hAnsi="黑体" w:eastAsia="黑体"/>
          <w:sz w:val="26"/>
        </w:rPr>
        <w:t>4.1 模型性能对比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0"/>
        </w:rPr>
        <w:t>表2  LSTM与Transformer性能对比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R²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RMSE (m/km)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MAE (m/km)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参数量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LSTM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0.9562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0.1461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0.0358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67K</w:t>
            </w:r>
          </w:p>
        </w:tc>
      </w:tr>
      <w:tr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Transformer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0.9557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0.1469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0.0450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566K</w:t>
            </w:r>
          </w:p>
        </w:tc>
      </w:tr>
    </w:tbl>
    <w:p/>
    <w:p>
      <w:pPr>
        <w:spacing w:after="80" w:line="312" w:lineRule="auto"/>
      </w:pPr>
      <w:r>
        <w:rPr>
          <w:rFonts w:ascii="宋体" w:hAnsi="宋体" w:eastAsia="宋体"/>
          <w:b/>
          <w:sz w:val="22"/>
        </w:rPr>
        <w:t>【关键发现】两者R²均超过0.95，解释了95%以上的IRI方差</w:t>
      </w:r>
    </w:p>
    <w:p>
      <w:pPr>
        <w:pStyle w:val="ListBullet"/>
      </w:pPr>
      <w:r>
        <w:rPr>
          <w:rFonts w:ascii="宋体" w:hAnsi="宋体" w:eastAsia="宋体"/>
          <w:sz w:val="22"/>
        </w:rPr>
        <w:t>LSTM以1/8.5的参数量达到与Transformer相当的性能——强时序自回归任务中，循环结构的归纳偏置优势明显</w:t>
      </w:r>
    </w:p>
    <w:p>
      <w:pPr>
        <w:pStyle w:val="ListBullet"/>
      </w:pPr>
      <w:r>
        <w:rPr>
          <w:rFonts w:ascii="宋体" w:hAnsi="宋体" w:eastAsia="宋体"/>
          <w:sz w:val="22"/>
        </w:rPr>
        <w:t>Transformer的MAE略高（0.0450 vs 0.0358），极端值预测偏差更大</w:t>
      </w:r>
    </w:p>
    <w:p>
      <w:pPr>
        <w:pStyle w:val="Heading2"/>
      </w:pPr>
      <w:r>
        <w:rPr>
          <w:rFonts w:ascii="黑体" w:hAnsi="黑体" w:eastAsia="黑体"/>
          <w:sz w:val="26"/>
        </w:rPr>
        <w:t>4.2 SHAP特征重要性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0"/>
        </w:rPr>
        <w:t>表3  SHAP特征重要性（Top 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LSTM特征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SHAP占比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Transformer特征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SHAP占比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去年IRI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66.7%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去年IRI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68.0%</w:t>
            </w:r>
          </w:p>
        </w:tc>
      </w:tr>
      <w:tr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前年IRI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25.0%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前年IRI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14.8%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总路面厚度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2.2%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总路面厚度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1.9%</w:t>
            </w:r>
          </w:p>
        </w:tc>
      </w:tr>
      <w:tr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基层厚度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1.7%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基层厚度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1.6%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年度度日数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1.5%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沥青层厚度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1.6%</w:t>
            </w:r>
          </w:p>
        </w:tc>
      </w:tr>
      <w:tr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时序特征合计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91.7%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82.8%</w:t>
            </w:r>
          </w:p>
        </w:tc>
      </w:tr>
    </w:tbl>
    <w:p/>
    <w:p>
      <w:pPr>
        <w:pStyle w:val="ListBullet"/>
      </w:pPr>
      <w:r>
        <w:rPr>
          <w:rFonts w:ascii="宋体" w:hAnsi="宋体" w:eastAsia="宋体"/>
          <w:sz w:val="22"/>
        </w:rPr>
        <w:t>时序滞后特征（IRI_LAG_1 + IRI_LAG_2）贡献占比83—92%，呈压倒性主导地位</w:t>
      </w:r>
    </w:p>
    <w:p>
      <w:pPr>
        <w:pStyle w:val="ListBullet"/>
      </w:pPr>
      <w:r>
        <w:rPr>
          <w:rFonts w:ascii="宋体" w:hAnsi="宋体" w:eastAsia="宋体"/>
          <w:sz w:val="22"/>
        </w:rPr>
        <w:t>结构因素排3—5位，是除时序外最重要的可控工程变量</w:t>
      </w:r>
    </w:p>
    <w:p>
      <w:pPr>
        <w:pStyle w:val="ListBullet"/>
      </w:pPr>
      <w:r>
        <w:rPr>
          <w:rFonts w:ascii="宋体" w:hAnsi="宋体" w:eastAsia="宋体"/>
          <w:sz w:val="22"/>
        </w:rPr>
        <w:t>Transformer对冻融指标的敏感度高于LSTM，气候信息在注意力机制中扮演关键角色</w:t>
      </w:r>
    </w:p>
    <w:p>
      <w:pPr>
        <w:pStyle w:val="Heading2"/>
      </w:pPr>
      <w:r>
        <w:rPr>
          <w:rFonts w:ascii="黑体" w:hAnsi="黑体" w:eastAsia="黑体"/>
          <w:sz w:val="26"/>
        </w:rPr>
        <w:t>4.3 消融实验——最重要的发现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0"/>
        </w:rPr>
        <w:t>表4  消融实验对比（↑=性能提升，↓=性能下降）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消融实验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LSTM R²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LSTM ΔR²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Transformer R²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Transformer ΔR²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基线（19特征）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0.9562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0.9582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去掉气候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0.9629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+0.0067 ↑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0.9292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-0.0290 ↓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去掉结构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0.9579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+0.0017 ↑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0.9461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-0.0121 ↓</w:t>
            </w:r>
          </w:p>
        </w:tc>
      </w:tr>
      <w:tr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去掉地理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0.9633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+0.0071 ↑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0.9387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-0.0195 ↓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只保留时序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0.9600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+0.0038 ↑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0.9459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-0.0123 ↓</w:t>
            </w:r>
          </w:p>
        </w:tc>
      </w:tr>
      <w:tr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去掉气候+结构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0.9610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+0.0048 ↑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0.9488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-0.0094 ↓</w:t>
            </w:r>
          </w:p>
        </w:tc>
      </w:tr>
    </w:tbl>
    <w:p/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▶ LSTM：所有消融实验R²反而上升 → "减特征不减性能"，聚焦核心时序特征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▶ Transformer：所有消融实验R²均下降，气候因素降幅最大 → "特征越多越好"，依赖多模态信息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★ 贡献度排序（跨模型稳健）：时序特征 &gt; 气候因素 &gt; 结构因素 &gt; 地理因素</w:t>
      </w:r>
    </w:p>
    <w:p>
      <w:pPr>
        <w:pStyle w:val="Heading2"/>
      </w:pPr>
      <w:r>
        <w:rPr>
          <w:rFonts w:ascii="黑体" w:hAnsi="黑体" w:eastAsia="黑体"/>
          <w:sz w:val="26"/>
        </w:rPr>
        <w:t>4.4 交通数据（AADTT）验证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2"/>
        </w:rPr>
        <w:t>特征重要性排名垫底（r=0.032），加入后R²增量&lt;0.0001，无需纳入特征体系。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sz w:val="32"/>
        </w:rPr>
        <w:t>五、结论与展望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主要结论：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2"/>
        </w:rPr>
        <w:t>(1) 深度学习的有效性：LSTM（R²=0.9562）和Transformer（R²=0.9557）均实现高精度IRI预测，验证了深度学习在路面性能预测中的可行性。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2"/>
        </w:rPr>
        <w:t>(2) IRI的强自回归性：去年IRI贡献占比66—68%，仅3个时序特征即可达R²&gt;0.94——历史IRI是预测未来IRI的最重要依据。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2"/>
        </w:rPr>
        <w:t>(3) LSTM vs Transformer的本质差异：LSTM参数高效（67K）、聚焦核心时序特征；Transformer更依赖多模态信息整合——两者互补而非替代。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sz w:val="22"/>
        </w:rPr>
        <w:t>(4) 工程因素贡献度排序：时序特征 &gt; 气候因素 &gt; 结构因素 &gt; 地理因素，跨模型稳健。</w:t>
      </w:r>
    </w:p>
    <w:p/>
    <w:p>
      <w:pPr>
        <w:spacing w:after="80" w:line="312" w:lineRule="auto"/>
      </w:pPr>
      <w:r>
        <w:rPr>
          <w:rFonts w:ascii="宋体" w:hAnsi="宋体" w:eastAsia="宋体"/>
          <w:b/>
          <w:sz w:val="24"/>
        </w:rPr>
        <w:t>下一步工作：</w:t>
      </w:r>
    </w:p>
    <w:p>
      <w:pPr>
        <w:pStyle w:val="ListBullet"/>
      </w:pPr>
      <w:r>
        <w:rPr>
          <w:rFonts w:ascii="宋体" w:hAnsi="宋体" w:eastAsia="宋体"/>
          <w:sz w:val="22"/>
        </w:rPr>
        <w:t>论文修改完善，确定目标期刊</w:t>
      </w:r>
    </w:p>
    <w:p>
      <w:pPr>
        <w:pStyle w:val="ListBullet"/>
      </w:pPr>
      <w:r>
        <w:rPr>
          <w:rFonts w:ascii="宋体" w:hAnsi="宋体" w:eastAsia="宋体"/>
          <w:sz w:val="22"/>
        </w:rPr>
        <w:t>英文翻译（英文版论文）</w:t>
      </w:r>
    </w:p>
    <w:p>
      <w:pPr>
        <w:pStyle w:val="ListBullet"/>
      </w:pPr>
      <w:r>
        <w:rPr>
          <w:rFonts w:ascii="宋体" w:hAnsi="宋体" w:eastAsia="宋体"/>
          <w:sz w:val="22"/>
        </w:rPr>
        <w:t>如需投稿高等级期刊，可探索：更深层Transformer、多步长期预测、时空联合建模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sz w:val="32"/>
        </w:rPr>
        <w:t>附录：关键图表文件清单</w:t>
      </w:r>
    </w:p>
    <w:p>
      <w:pPr>
        <w:spacing w:after="80" w:line="312" w:lineRule="auto"/>
      </w:pPr>
      <w:r>
        <w:rPr>
          <w:rFonts w:ascii="宋体" w:hAnsi="宋体" w:eastAsia="宋体"/>
          <w:b/>
          <w:sz w:val="20"/>
        </w:rPr>
        <w:t>表5  关键图表文件清单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lstm_predictions.png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AC_LSTM/output/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LSTM预测vs实测散点图</w:t>
            </w:r>
          </w:p>
        </w:tc>
      </w:tr>
      <w:tr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transformer_predictions.png</w:t>
            </w:r>
          </w:p>
        </w:tc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AC_Transformer/output/</w:t>
            </w:r>
          </w:p>
        </w:tc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Transformer预测vs实测散点图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lstm_training_history.png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AC_LSTM/output/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LSTM训练曲线</w:t>
            </w:r>
          </w:p>
        </w:tc>
      </w:tr>
      <w:tr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lstm_shap_summary.png</w:t>
            </w:r>
          </w:p>
        </w:tc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AC_LSTM/output/</w:t>
            </w:r>
          </w:p>
        </w:tc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LSTM SHAP摘要图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transformer_shap_importance.png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AC_Transformer/output/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Transformer SHAP重要性图</w:t>
            </w:r>
          </w:p>
        </w:tc>
      </w:tr>
      <w:tr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fig1_r2_comparison.png</w:t>
            </w:r>
          </w:p>
        </w:tc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ablation_figures/</w:t>
            </w:r>
          </w:p>
        </w:tc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消融R²对比图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fig4_r2_change.png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ablation_figures/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消融R²变化量图</w:t>
            </w:r>
          </w:p>
        </w:tc>
      </w:tr>
      <w:tr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ablation_summary.csv</w:t>
            </w:r>
          </w:p>
        </w:tc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ablation_figures/</w:t>
            </w:r>
          </w:p>
        </w:tc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消融实验汇总数据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fig_traffic_analysis.png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output_quick_test/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AADTT交通数据分析图</w:t>
            </w:r>
          </w:p>
        </w:tc>
      </w:tr>
    </w:tbl>
    <w:p/>
    <w:p>
      <w:pPr>
        <w:spacing w:after="80" w:line="312" w:lineRule="auto" w:before="480"/>
        <w:jc w:val="center"/>
      </w:pPr>
      <w:r>
        <w:rPr>
          <w:rFonts w:ascii="宋体" w:hAnsi="宋体" w:eastAsia="宋体"/>
          <w:b/>
          <w:color w:val="4472C4"/>
          <w:sz w:val="24"/>
        </w:rPr>
        <w:t>— 汇报完毕，感谢老师指导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