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9FF1" w14:textId="25DFBB90" w:rsidR="00B57B90" w:rsidRPr="00B57B90" w:rsidRDefault="00B57B90" w:rsidP="002B17E6">
      <w:pPr>
        <w:pStyle w:val="Heading1"/>
        <w:jc w:val="center"/>
        <w:rPr>
          <w:b/>
          <w:bCs/>
          <w:sz w:val="48"/>
          <w:szCs w:val="48"/>
          <w:lang w:val="en-US"/>
        </w:rPr>
      </w:pPr>
      <w:r w:rsidRPr="00B57B90">
        <w:rPr>
          <w:b/>
          <w:bCs/>
          <w:sz w:val="48"/>
          <w:szCs w:val="48"/>
          <w:lang w:val="en-US"/>
        </w:rPr>
        <w:t>Corporate Finance 2 Project</w:t>
      </w:r>
    </w:p>
    <w:p w14:paraId="7F936A81" w14:textId="0F3BF54E" w:rsidR="00B57B90" w:rsidRPr="00B57B90" w:rsidRDefault="00B57B90" w:rsidP="00B57B90">
      <w:pPr>
        <w:pStyle w:val="Title"/>
        <w:rPr>
          <w:sz w:val="48"/>
          <w:szCs w:val="48"/>
          <w:lang w:val="en-US"/>
        </w:rPr>
      </w:pPr>
      <w:r w:rsidRPr="00B57B90">
        <w:rPr>
          <w:sz w:val="48"/>
          <w:szCs w:val="48"/>
          <w:lang w:val="en-US"/>
        </w:rPr>
        <w:t>DCF Model: Evaluating McDonald’s Corporation</w:t>
      </w:r>
    </w:p>
    <w:p w14:paraId="2783DCBA" w14:textId="640632D2" w:rsidR="00B57B90" w:rsidRPr="00B57B90" w:rsidRDefault="00B57B90" w:rsidP="002B17E6">
      <w:pPr>
        <w:pStyle w:val="Heading1"/>
        <w:jc w:val="center"/>
        <w:rPr>
          <w:b/>
          <w:bCs/>
          <w:lang w:val="en-US"/>
        </w:rPr>
      </w:pPr>
      <w:r w:rsidRPr="00B57B90">
        <w:rPr>
          <w:b/>
          <w:bCs/>
          <w:lang w:val="en-US"/>
        </w:rPr>
        <w:t>Group members:</w:t>
      </w:r>
    </w:p>
    <w:p w14:paraId="45E1C787" w14:textId="43B5F38D" w:rsidR="00B57B90" w:rsidRPr="00B57B90" w:rsidRDefault="00B57B90" w:rsidP="00B57B90">
      <w:pPr>
        <w:pStyle w:val="ListParagraph"/>
        <w:numPr>
          <w:ilvl w:val="0"/>
          <w:numId w:val="1"/>
        </w:numPr>
        <w:rPr>
          <w:b/>
          <w:bCs/>
          <w:lang w:val="en-US"/>
        </w:rPr>
      </w:pPr>
      <w:r w:rsidRPr="00B57B90">
        <w:rPr>
          <w:b/>
          <w:bCs/>
          <w:lang w:val="en-US"/>
        </w:rPr>
        <w:t>Durmishkhan Gigineishvili</w:t>
      </w:r>
    </w:p>
    <w:p w14:paraId="4B5123FA" w14:textId="41C58364" w:rsidR="00B57B90" w:rsidRPr="00B57B90" w:rsidRDefault="00B57B90" w:rsidP="00B57B90">
      <w:pPr>
        <w:pStyle w:val="ListParagraph"/>
        <w:numPr>
          <w:ilvl w:val="0"/>
          <w:numId w:val="1"/>
        </w:numPr>
        <w:rPr>
          <w:b/>
          <w:bCs/>
          <w:lang w:val="en-US"/>
        </w:rPr>
      </w:pPr>
      <w:r w:rsidRPr="00B57B90">
        <w:rPr>
          <w:b/>
          <w:bCs/>
          <w:lang w:val="en-US"/>
        </w:rPr>
        <w:t>Saba Zazadze</w:t>
      </w:r>
    </w:p>
    <w:p w14:paraId="4A206C63" w14:textId="0DAD992A" w:rsidR="00B57B90" w:rsidRPr="00B57B90" w:rsidRDefault="00B57B90" w:rsidP="00B57B90">
      <w:pPr>
        <w:pStyle w:val="ListParagraph"/>
        <w:numPr>
          <w:ilvl w:val="0"/>
          <w:numId w:val="1"/>
        </w:numPr>
        <w:rPr>
          <w:b/>
          <w:bCs/>
          <w:lang w:val="en-US"/>
        </w:rPr>
      </w:pPr>
      <w:proofErr w:type="spellStart"/>
      <w:r w:rsidRPr="00B57B90">
        <w:rPr>
          <w:b/>
          <w:bCs/>
          <w:lang w:val="en-US"/>
        </w:rPr>
        <w:t>Roini</w:t>
      </w:r>
      <w:proofErr w:type="spellEnd"/>
      <w:r w:rsidRPr="00B57B90">
        <w:rPr>
          <w:b/>
          <w:bCs/>
          <w:lang w:val="en-US"/>
        </w:rPr>
        <w:t xml:space="preserve"> </w:t>
      </w:r>
      <w:proofErr w:type="spellStart"/>
      <w:r w:rsidRPr="00B57B90">
        <w:rPr>
          <w:b/>
          <w:bCs/>
          <w:lang w:val="en-US"/>
        </w:rPr>
        <w:t>Kutchuashvili</w:t>
      </w:r>
      <w:proofErr w:type="spellEnd"/>
    </w:p>
    <w:p w14:paraId="50BAA855" w14:textId="45ADCAED" w:rsidR="00B57B90" w:rsidRPr="00B57B90" w:rsidRDefault="00B57B90" w:rsidP="00B57B90">
      <w:pPr>
        <w:pStyle w:val="ListParagraph"/>
        <w:numPr>
          <w:ilvl w:val="0"/>
          <w:numId w:val="1"/>
        </w:numPr>
        <w:rPr>
          <w:b/>
          <w:bCs/>
          <w:lang w:val="en-US"/>
        </w:rPr>
      </w:pPr>
      <w:r w:rsidRPr="00B57B90">
        <w:rPr>
          <w:b/>
          <w:bCs/>
          <w:lang w:val="en-US"/>
        </w:rPr>
        <w:t>Davit Vashakmadze</w:t>
      </w:r>
    </w:p>
    <w:p w14:paraId="6EDED7F2" w14:textId="067DE9ED" w:rsidR="00F809C5" w:rsidRDefault="00D827C5" w:rsidP="002B17E6">
      <w:pPr>
        <w:pStyle w:val="Heading1"/>
        <w:jc w:val="center"/>
        <w:rPr>
          <w:lang w:val="en-US"/>
        </w:rPr>
      </w:pPr>
      <w:r>
        <w:rPr>
          <w:lang w:val="en-US"/>
        </w:rPr>
        <w:t>Introduction</w:t>
      </w:r>
    </w:p>
    <w:p w14:paraId="5023D2CE" w14:textId="777B79DE" w:rsidR="00D827C5" w:rsidRPr="00C96794" w:rsidRDefault="00D827C5">
      <w:pPr>
        <w:rPr>
          <w:sz w:val="24"/>
          <w:szCs w:val="24"/>
          <w:lang w:val="en-US"/>
        </w:rPr>
      </w:pPr>
      <w:r w:rsidRPr="00C96794">
        <w:rPr>
          <w:sz w:val="24"/>
          <w:szCs w:val="24"/>
          <w:lang w:val="en-US"/>
        </w:rPr>
        <w:t xml:space="preserve">We did a project about valuating a big famous company such as McDonald’s Corporation, based on what we practiced in class for evaluating Coca-Cola Corporation. We used 4 previous </w:t>
      </w:r>
      <w:r w:rsidR="002B17E6" w:rsidRPr="00C96794">
        <w:rPr>
          <w:sz w:val="24"/>
          <w:szCs w:val="24"/>
          <w:lang w:val="en-US"/>
        </w:rPr>
        <w:t>year’s</w:t>
      </w:r>
      <w:r w:rsidRPr="00C96794">
        <w:rPr>
          <w:sz w:val="24"/>
          <w:szCs w:val="24"/>
          <w:lang w:val="en-US"/>
        </w:rPr>
        <w:t xml:space="preserve"> annual reports (10Ks) and two annual/last quarter 8K documents as historical data and predicted future 5 years outcomes till 20230</w:t>
      </w:r>
      <w:r w:rsidR="002B17E6" w:rsidRPr="00C96794">
        <w:rPr>
          <w:sz w:val="24"/>
          <w:szCs w:val="24"/>
          <w:lang w:val="en-US"/>
        </w:rPr>
        <w:t xml:space="preserve"> </w:t>
      </w:r>
      <w:proofErr w:type="gramStart"/>
      <w:r w:rsidR="002B17E6" w:rsidRPr="00C96794">
        <w:rPr>
          <w:sz w:val="24"/>
          <w:szCs w:val="24"/>
          <w:lang w:val="en-US"/>
        </w:rPr>
        <w:t>in order</w:t>
      </w:r>
      <w:r w:rsidRPr="00C96794">
        <w:rPr>
          <w:sz w:val="24"/>
          <w:szCs w:val="24"/>
          <w:lang w:val="en-US"/>
        </w:rPr>
        <w:t xml:space="preserve"> to</w:t>
      </w:r>
      <w:proofErr w:type="gramEnd"/>
      <w:r w:rsidRPr="00C96794">
        <w:rPr>
          <w:sz w:val="24"/>
          <w:szCs w:val="24"/>
          <w:lang w:val="en-US"/>
        </w:rPr>
        <w:t xml:space="preserve"> find the value of the company and the stock accordingly. However, the company we picked had different structure as they focus on Restaurant services rather than producing some goods like Coca-Cola example. Therefore, there were significant differences for instance in segmented income statement, balance sheet, statement of cash flows, extraordinary items (8K) and so on. In the following sections we will dive deeper into </w:t>
      </w:r>
      <w:r w:rsidR="002B17E6" w:rsidRPr="00C96794">
        <w:rPr>
          <w:sz w:val="24"/>
          <w:szCs w:val="24"/>
          <w:lang w:val="en-US"/>
        </w:rPr>
        <w:t xml:space="preserve">what assumptions we made </w:t>
      </w:r>
      <w:proofErr w:type="gramStart"/>
      <w:r w:rsidR="002B17E6" w:rsidRPr="00C96794">
        <w:rPr>
          <w:sz w:val="24"/>
          <w:szCs w:val="24"/>
          <w:lang w:val="en-US"/>
        </w:rPr>
        <w:t>in</w:t>
      </w:r>
      <w:proofErr w:type="gramEnd"/>
      <w:r w:rsidR="002B17E6" w:rsidRPr="00C96794">
        <w:rPr>
          <w:sz w:val="24"/>
          <w:szCs w:val="24"/>
          <w:lang w:val="en-US"/>
        </w:rPr>
        <w:t xml:space="preserve"> each sheet and other relevant details or conclusions made.</w:t>
      </w:r>
    </w:p>
    <w:p w14:paraId="18529242" w14:textId="4A57990A" w:rsidR="002B17E6" w:rsidRDefault="002B17E6" w:rsidP="002B17E6">
      <w:pPr>
        <w:pStyle w:val="Heading1"/>
        <w:jc w:val="center"/>
        <w:rPr>
          <w:lang w:val="en-US"/>
        </w:rPr>
      </w:pPr>
      <w:r>
        <w:rPr>
          <w:lang w:val="en-US"/>
        </w:rPr>
        <w:t>Revenue and P&amp;L</w:t>
      </w:r>
    </w:p>
    <w:p w14:paraId="6923EC1A" w14:textId="77777777" w:rsidR="00141C9F" w:rsidRPr="00C96794" w:rsidRDefault="00141C9F" w:rsidP="00141C9F">
      <w:pPr>
        <w:rPr>
          <w:sz w:val="24"/>
          <w:szCs w:val="24"/>
          <w:lang w:val="en-US"/>
        </w:rPr>
      </w:pPr>
      <w:r w:rsidRPr="00C96794">
        <w:rPr>
          <w:b/>
          <w:bCs/>
          <w:sz w:val="24"/>
          <w:szCs w:val="24"/>
          <w:lang w:val="en-US"/>
        </w:rPr>
        <w:t xml:space="preserve">Revenues </w:t>
      </w:r>
      <w:r w:rsidRPr="00C96794">
        <w:rPr>
          <w:sz w:val="24"/>
          <w:szCs w:val="24"/>
          <w:lang w:val="en-US"/>
        </w:rPr>
        <w:t>consist of 3 distinct geographical areas which are: United States, International Operated Markets (IOM) and International Developmental Licensed ones (IDL). Each of these above is divided into franchised and direct company operated revenues. Since, growth rate is just nominal growth rate we need to find what organic growth rate is to make appropriate predictions for more precise company valuation. Unfortunately, McDonald’s did not explicitly show the inorganic growth effects like Coca cola did. However, we still found clear information about growth excluding currency translations. Currency translation is an important inorganic growth component. So, we calculated inorganic growth coming from that translation by subtracting growth excluding currency translations from the growth reported in revenues table (</w:t>
      </w:r>
      <w:r w:rsidRPr="00C96794">
        <w:rPr>
          <w:i/>
          <w:iCs/>
          <w:sz w:val="24"/>
          <w:szCs w:val="24"/>
          <w:lang w:val="en-US"/>
        </w:rPr>
        <w:t>Page 19 in 10K 2025 for example</w:t>
      </w:r>
      <w:r w:rsidRPr="00C96794">
        <w:rPr>
          <w:sz w:val="24"/>
          <w:szCs w:val="24"/>
          <w:lang w:val="en-US"/>
        </w:rPr>
        <w:t>). Then we included it in the revenue sheet and by subtracting the inorganic growth from “Growth rate %” we get the organic growth (</w:t>
      </w:r>
      <w:r w:rsidRPr="00C96794">
        <w:rPr>
          <w:i/>
          <w:iCs/>
          <w:sz w:val="24"/>
          <w:szCs w:val="24"/>
          <w:lang w:val="en-US"/>
        </w:rPr>
        <w:t>We probably still miss some other inorganic growth elements but due to the fact that McDonald’s did not organize it in clear one table like Coca cola we could not include in revenues Properly</w:t>
      </w:r>
      <w:r w:rsidRPr="00C96794">
        <w:rPr>
          <w:sz w:val="24"/>
          <w:szCs w:val="24"/>
          <w:lang w:val="en-US"/>
        </w:rPr>
        <w:t xml:space="preserve">). Total revenue for each year coincides with ones reported in 10K. </w:t>
      </w:r>
    </w:p>
    <w:p w14:paraId="2225A28D" w14:textId="77777777" w:rsidR="00141C9F" w:rsidRPr="00C96794" w:rsidRDefault="00141C9F" w:rsidP="00141C9F">
      <w:pPr>
        <w:rPr>
          <w:sz w:val="24"/>
          <w:szCs w:val="24"/>
          <w:lang w:val="en-US"/>
        </w:rPr>
      </w:pPr>
      <w:r w:rsidRPr="00C96794">
        <w:rPr>
          <w:b/>
          <w:bCs/>
          <w:sz w:val="24"/>
          <w:szCs w:val="24"/>
          <w:lang w:val="en-US"/>
        </w:rPr>
        <w:t>As for Predictions</w:t>
      </w:r>
      <w:r w:rsidRPr="00C96794">
        <w:rPr>
          <w:sz w:val="24"/>
          <w:szCs w:val="24"/>
          <w:lang w:val="en-US"/>
        </w:rPr>
        <w:t xml:space="preserve"> we took average of last 3 years’ growth in a specific revenue type, we did not fix them so it’s kind of a moving average which looks more realistic. Only exceptions </w:t>
      </w:r>
      <w:r w:rsidRPr="00C96794">
        <w:rPr>
          <w:sz w:val="24"/>
          <w:szCs w:val="24"/>
          <w:lang w:val="en-US"/>
        </w:rPr>
        <w:lastRenderedPageBreak/>
        <w:t xml:space="preserve">were cases when IDL company operated sales dropped dramatically by 49.2% and we decided to take average of 2023-24 years growth and fix it for the rest of the </w:t>
      </w:r>
      <w:proofErr w:type="gramStart"/>
      <w:r w:rsidRPr="00C96794">
        <w:rPr>
          <w:sz w:val="24"/>
          <w:szCs w:val="24"/>
          <w:lang w:val="en-US"/>
        </w:rPr>
        <w:t>years</w:t>
      </w:r>
      <w:proofErr w:type="gramEnd"/>
      <w:r w:rsidRPr="00C96794">
        <w:rPr>
          <w:sz w:val="24"/>
          <w:szCs w:val="24"/>
          <w:lang w:val="en-US"/>
        </w:rPr>
        <w:t xml:space="preserve"> representing a stable future idea. We noted that </w:t>
      </w:r>
      <w:proofErr w:type="gramStart"/>
      <w:r w:rsidRPr="00C96794">
        <w:rPr>
          <w:sz w:val="24"/>
          <w:szCs w:val="24"/>
          <w:lang w:val="en-US"/>
        </w:rPr>
        <w:t>Other</w:t>
      </w:r>
      <w:proofErr w:type="gramEnd"/>
      <w:r w:rsidRPr="00C96794">
        <w:rPr>
          <w:sz w:val="24"/>
          <w:szCs w:val="24"/>
          <w:lang w:val="en-US"/>
        </w:rPr>
        <w:t xml:space="preserve"> revenues were jumping up and down in a cyclical </w:t>
      </w:r>
      <w:proofErr w:type="gramStart"/>
      <w:r w:rsidRPr="00C96794">
        <w:rPr>
          <w:sz w:val="24"/>
          <w:szCs w:val="24"/>
          <w:lang w:val="en-US"/>
        </w:rPr>
        <w:t>way</w:t>
      </w:r>
      <w:proofErr w:type="gramEnd"/>
      <w:r w:rsidRPr="00C96794">
        <w:rPr>
          <w:sz w:val="24"/>
          <w:szCs w:val="24"/>
          <w:lang w:val="en-US"/>
        </w:rPr>
        <w:t xml:space="preserve"> so we used “moving average” method, so predicted growth </w:t>
      </w:r>
      <w:proofErr w:type="gramStart"/>
      <w:r w:rsidRPr="00C96794">
        <w:rPr>
          <w:sz w:val="24"/>
          <w:szCs w:val="24"/>
          <w:lang w:val="en-US"/>
        </w:rPr>
        <w:t>in a given year</w:t>
      </w:r>
      <w:proofErr w:type="gramEnd"/>
      <w:r w:rsidRPr="00C96794">
        <w:rPr>
          <w:sz w:val="24"/>
          <w:szCs w:val="24"/>
          <w:lang w:val="en-US"/>
        </w:rPr>
        <w:t xml:space="preserve"> is average growth of last 2 and 3 year.</w:t>
      </w:r>
    </w:p>
    <w:p w14:paraId="18D9AD6D" w14:textId="77777777" w:rsidR="00141C9F" w:rsidRPr="00C96794" w:rsidRDefault="00141C9F" w:rsidP="00141C9F">
      <w:pPr>
        <w:rPr>
          <w:sz w:val="24"/>
          <w:szCs w:val="24"/>
          <w:lang w:val="en-US"/>
        </w:rPr>
      </w:pPr>
      <w:r w:rsidRPr="00C96794">
        <w:rPr>
          <w:b/>
          <w:bCs/>
          <w:sz w:val="24"/>
          <w:szCs w:val="24"/>
          <w:lang w:val="en-US"/>
        </w:rPr>
        <w:t xml:space="preserve">P&amp;L </w:t>
      </w:r>
      <w:r w:rsidRPr="00C96794">
        <w:rPr>
          <w:sz w:val="24"/>
          <w:szCs w:val="24"/>
          <w:lang w:val="en-US"/>
        </w:rPr>
        <w:t>sheet gives us the income information which we adjusted based on 8K documents, where extraordinary items were listed (</w:t>
      </w:r>
      <w:r w:rsidRPr="00C96794">
        <w:rPr>
          <w:i/>
          <w:iCs/>
          <w:sz w:val="24"/>
          <w:szCs w:val="24"/>
          <w:lang w:val="en-US"/>
        </w:rPr>
        <w:t>Page 4 of the document</w:t>
      </w:r>
      <w:r w:rsidRPr="00C96794">
        <w:rPr>
          <w:sz w:val="24"/>
          <w:szCs w:val="24"/>
          <w:lang w:val="en-US"/>
        </w:rPr>
        <w:t xml:space="preserve">). </w:t>
      </w:r>
      <w:proofErr w:type="gramStart"/>
      <w:r w:rsidRPr="00C96794">
        <w:rPr>
          <w:sz w:val="24"/>
          <w:szCs w:val="24"/>
          <w:lang w:val="en-US"/>
        </w:rPr>
        <w:t>Due to the fact that</w:t>
      </w:r>
      <w:proofErr w:type="gramEnd"/>
      <w:r w:rsidRPr="00C96794">
        <w:rPr>
          <w:sz w:val="24"/>
          <w:szCs w:val="24"/>
          <w:lang w:val="en-US"/>
        </w:rPr>
        <w:t xml:space="preserve"> they did not have fully separated extraordinary items like KO example, we had to normalize income before income and taxes directly by including </w:t>
      </w:r>
      <w:r w:rsidRPr="00C96794">
        <w:rPr>
          <w:b/>
          <w:bCs/>
          <w:sz w:val="24"/>
          <w:szCs w:val="24"/>
          <w:lang w:val="en-US"/>
        </w:rPr>
        <w:t xml:space="preserve">Charges, </w:t>
      </w:r>
      <w:r w:rsidRPr="00C96794">
        <w:rPr>
          <w:sz w:val="24"/>
          <w:szCs w:val="24"/>
          <w:lang w:val="en-US"/>
        </w:rPr>
        <w:t xml:space="preserve">though for taxes we could link it as we had specific </w:t>
      </w:r>
      <w:r w:rsidRPr="00C96794">
        <w:rPr>
          <w:b/>
          <w:bCs/>
          <w:sz w:val="24"/>
          <w:szCs w:val="24"/>
          <w:lang w:val="en-US"/>
        </w:rPr>
        <w:t xml:space="preserve">tax settlement </w:t>
      </w:r>
      <w:r w:rsidRPr="00C96794">
        <w:rPr>
          <w:sz w:val="24"/>
          <w:szCs w:val="24"/>
          <w:lang w:val="en-US"/>
        </w:rPr>
        <w:t xml:space="preserve">extraordinary item. </w:t>
      </w:r>
      <w:r w:rsidRPr="00C96794">
        <w:rPr>
          <w:b/>
          <w:bCs/>
          <w:sz w:val="24"/>
          <w:szCs w:val="24"/>
          <w:lang w:val="en-US"/>
        </w:rPr>
        <w:t xml:space="preserve">As for prediction </w:t>
      </w:r>
      <w:proofErr w:type="gramStart"/>
      <w:r w:rsidRPr="00C96794">
        <w:rPr>
          <w:b/>
          <w:bCs/>
          <w:sz w:val="24"/>
          <w:szCs w:val="24"/>
          <w:lang w:val="en-US"/>
        </w:rPr>
        <w:t>assumptions</w:t>
      </w:r>
      <w:proofErr w:type="gramEnd"/>
      <w:r w:rsidRPr="00C96794">
        <w:rPr>
          <w:b/>
          <w:bCs/>
          <w:sz w:val="24"/>
          <w:szCs w:val="24"/>
          <w:lang w:val="en-US"/>
        </w:rPr>
        <w:t xml:space="preserve"> </w:t>
      </w:r>
      <w:r w:rsidRPr="00C96794">
        <w:rPr>
          <w:sz w:val="24"/>
          <w:szCs w:val="24"/>
          <w:lang w:val="en-US"/>
        </w:rPr>
        <w:t xml:space="preserve">we assumed that extraordinary items </w:t>
      </w:r>
      <w:proofErr w:type="gramStart"/>
      <w:r w:rsidRPr="00C96794">
        <w:rPr>
          <w:sz w:val="24"/>
          <w:szCs w:val="24"/>
          <w:lang w:val="en-US"/>
        </w:rPr>
        <w:t>are</w:t>
      </w:r>
      <w:proofErr w:type="gramEnd"/>
      <w:r w:rsidRPr="00C96794">
        <w:rPr>
          <w:sz w:val="24"/>
          <w:szCs w:val="24"/>
          <w:lang w:val="en-US"/>
        </w:rPr>
        <w:t xml:space="preserve"> 0 in the </w:t>
      </w:r>
      <w:proofErr w:type="gramStart"/>
      <w:r w:rsidRPr="00C96794">
        <w:rPr>
          <w:sz w:val="24"/>
          <w:szCs w:val="24"/>
          <w:lang w:val="en-US"/>
        </w:rPr>
        <w:t>future,  operating</w:t>
      </w:r>
      <w:proofErr w:type="gramEnd"/>
      <w:r w:rsidRPr="00C96794">
        <w:rPr>
          <w:sz w:val="24"/>
          <w:szCs w:val="24"/>
          <w:lang w:val="en-US"/>
        </w:rPr>
        <w:t xml:space="preserve"> expenses were declining so we took average of last 2 years for the next years. </w:t>
      </w:r>
      <w:r w:rsidRPr="00C96794">
        <w:rPr>
          <w:b/>
          <w:bCs/>
          <w:sz w:val="24"/>
          <w:szCs w:val="24"/>
          <w:lang w:val="en-US"/>
        </w:rPr>
        <w:t>Most importantly</w:t>
      </w:r>
      <w:r w:rsidRPr="00C96794">
        <w:rPr>
          <w:sz w:val="24"/>
          <w:szCs w:val="24"/>
          <w:lang w:val="en-US"/>
        </w:rPr>
        <w:t xml:space="preserve"> we have </w:t>
      </w:r>
      <w:proofErr w:type="gramStart"/>
      <w:r w:rsidRPr="00C96794">
        <w:rPr>
          <w:b/>
          <w:bCs/>
          <w:sz w:val="24"/>
          <w:szCs w:val="24"/>
          <w:lang w:val="en-US"/>
        </w:rPr>
        <w:t>dividend</w:t>
      </w:r>
      <w:proofErr w:type="gramEnd"/>
      <w:r w:rsidRPr="00C96794">
        <w:rPr>
          <w:b/>
          <w:bCs/>
          <w:sz w:val="24"/>
          <w:szCs w:val="24"/>
          <w:lang w:val="en-US"/>
        </w:rPr>
        <w:t xml:space="preserve"> payout ratio</w:t>
      </w:r>
      <w:r w:rsidRPr="00C96794">
        <w:rPr>
          <w:sz w:val="24"/>
          <w:szCs w:val="24"/>
          <w:lang w:val="en-US"/>
        </w:rPr>
        <w:t xml:space="preserve"> adjusted to increase to </w:t>
      </w:r>
      <w:r w:rsidRPr="00C96794">
        <w:rPr>
          <w:b/>
          <w:bCs/>
          <w:sz w:val="24"/>
          <w:szCs w:val="24"/>
          <w:lang w:val="en-US"/>
        </w:rPr>
        <w:t>90</w:t>
      </w:r>
      <w:proofErr w:type="gramStart"/>
      <w:r w:rsidRPr="00C96794">
        <w:rPr>
          <w:b/>
          <w:bCs/>
          <w:sz w:val="24"/>
          <w:szCs w:val="24"/>
          <w:lang w:val="en-US"/>
        </w:rPr>
        <w:t>%</w:t>
      </w:r>
      <w:r w:rsidRPr="00C96794">
        <w:rPr>
          <w:sz w:val="24"/>
          <w:szCs w:val="24"/>
          <w:lang w:val="en-US"/>
        </w:rPr>
        <w:t xml:space="preserve"> ,</w:t>
      </w:r>
      <w:proofErr w:type="gramEnd"/>
      <w:r w:rsidRPr="00C96794">
        <w:rPr>
          <w:sz w:val="24"/>
          <w:szCs w:val="24"/>
          <w:lang w:val="en-US"/>
        </w:rPr>
        <w:t xml:space="preserve"> that’s because we wanted to stabilize money and equivalents in the balance sheet to make it more realistic.</w:t>
      </w:r>
    </w:p>
    <w:p w14:paraId="2D072F14" w14:textId="1D970195" w:rsidR="002B17E6" w:rsidRDefault="002B17E6" w:rsidP="002B17E6">
      <w:pPr>
        <w:pStyle w:val="Heading1"/>
        <w:jc w:val="center"/>
        <w:rPr>
          <w:lang w:val="en-US"/>
        </w:rPr>
      </w:pPr>
      <w:r>
        <w:rPr>
          <w:lang w:val="en-US"/>
        </w:rPr>
        <w:t>Balance Sheet, Statement of Cash Flows and related support tables: Debt &amp; Capex</w:t>
      </w:r>
    </w:p>
    <w:p w14:paraId="5A5ECE53" w14:textId="77777777" w:rsidR="00141C9F" w:rsidRPr="00C96794" w:rsidRDefault="00141C9F" w:rsidP="00141C9F">
      <w:pPr>
        <w:rPr>
          <w:sz w:val="24"/>
          <w:szCs w:val="24"/>
          <w:lang w:val="en-US"/>
        </w:rPr>
      </w:pPr>
      <w:r w:rsidRPr="00C96794">
        <w:rPr>
          <w:b/>
          <w:bCs/>
          <w:sz w:val="24"/>
          <w:szCs w:val="24"/>
          <w:lang w:val="en-US"/>
        </w:rPr>
        <w:t>Balance sheet</w:t>
      </w:r>
      <w:r w:rsidRPr="00C96794">
        <w:rPr>
          <w:sz w:val="24"/>
          <w:szCs w:val="24"/>
          <w:lang w:val="en-US"/>
        </w:rPr>
        <w:t xml:space="preserve"> resembles the balance sheet which McDonald’s provided in the 10K statement according to structure. As for variables which needed to be predicted and were not linked with “working” additional tables below, we used average where inputs across years were close, we left the same if prediction was not relevant or there was an apparent decline in the values and we wanted to stabilize.</w:t>
      </w:r>
    </w:p>
    <w:p w14:paraId="312738AE" w14:textId="19CA136B" w:rsidR="003D459E" w:rsidRPr="00C96794" w:rsidRDefault="00141C9F" w:rsidP="003D459E">
      <w:pPr>
        <w:rPr>
          <w:sz w:val="24"/>
          <w:szCs w:val="24"/>
          <w:lang w:val="en-US"/>
        </w:rPr>
      </w:pPr>
      <w:r w:rsidRPr="00C96794">
        <w:rPr>
          <w:b/>
          <w:bCs/>
          <w:sz w:val="24"/>
          <w:szCs w:val="24"/>
          <w:lang w:val="en-US"/>
        </w:rPr>
        <w:t>Our cash flows statement</w:t>
      </w:r>
      <w:r w:rsidRPr="00C96794">
        <w:rPr>
          <w:sz w:val="24"/>
          <w:szCs w:val="24"/>
          <w:lang w:val="en-US"/>
        </w:rPr>
        <w:t xml:space="preserve"> is designed to account for changes in the variables which are represented on the balance sheet. We had to construct it from scratch and link it with </w:t>
      </w:r>
      <w:proofErr w:type="gramStart"/>
      <w:r w:rsidRPr="00C96794">
        <w:rPr>
          <w:b/>
          <w:bCs/>
          <w:sz w:val="24"/>
          <w:szCs w:val="24"/>
          <w:lang w:val="en-US"/>
        </w:rPr>
        <w:t>Long</w:t>
      </w:r>
      <w:proofErr w:type="gramEnd"/>
      <w:r w:rsidRPr="00C96794">
        <w:rPr>
          <w:b/>
          <w:bCs/>
          <w:sz w:val="24"/>
          <w:szCs w:val="24"/>
          <w:lang w:val="en-US"/>
        </w:rPr>
        <w:t xml:space="preserve"> term debt</w:t>
      </w:r>
      <w:r w:rsidRPr="00C96794">
        <w:rPr>
          <w:sz w:val="24"/>
          <w:szCs w:val="24"/>
          <w:lang w:val="en-US"/>
        </w:rPr>
        <w:t xml:space="preserve"> schedule and </w:t>
      </w:r>
      <w:r w:rsidRPr="00C96794">
        <w:rPr>
          <w:b/>
          <w:bCs/>
          <w:sz w:val="24"/>
          <w:szCs w:val="24"/>
          <w:lang w:val="en-US"/>
        </w:rPr>
        <w:t>capex</w:t>
      </w:r>
      <w:r w:rsidRPr="00C96794">
        <w:rPr>
          <w:sz w:val="24"/>
          <w:szCs w:val="24"/>
          <w:lang w:val="en-US"/>
        </w:rPr>
        <w:t xml:space="preserve"> schedule apart from the balance sheet predicted variable changes.</w:t>
      </w:r>
    </w:p>
    <w:p w14:paraId="62E077DA" w14:textId="77777777" w:rsidR="00A04C15" w:rsidRDefault="002B17E6" w:rsidP="002B17E6">
      <w:pPr>
        <w:pStyle w:val="Heading1"/>
        <w:jc w:val="center"/>
        <w:rPr>
          <w:lang w:val="en-US"/>
        </w:rPr>
      </w:pPr>
      <w:r>
        <w:rPr>
          <w:lang w:val="en-US"/>
        </w:rPr>
        <w:t>Cost of Debt</w:t>
      </w:r>
    </w:p>
    <w:p w14:paraId="1BD4A2F6" w14:textId="477C849E" w:rsidR="00A04C15" w:rsidRPr="00C96794" w:rsidRDefault="00A04C15" w:rsidP="00A04C15">
      <w:pPr>
        <w:rPr>
          <w:rFonts w:ascii="Calibri" w:eastAsia="Times New Roman" w:hAnsi="Calibri" w:cs="Calibri"/>
          <w:color w:val="0563C1"/>
          <w:kern w:val="0"/>
          <w:sz w:val="24"/>
          <w:szCs w:val="24"/>
          <w:u w:val="single"/>
          <w:lang w:val="en-US"/>
          <w14:ligatures w14:val="none"/>
        </w:rPr>
      </w:pPr>
      <w:r w:rsidRPr="00C96794">
        <w:rPr>
          <w:sz w:val="24"/>
          <w:szCs w:val="24"/>
          <w:lang w:val="en-US"/>
        </w:rPr>
        <w:t xml:space="preserve">To calculate cost of debt we visited </w:t>
      </w:r>
      <w:hyperlink r:id="rId5" w:history="1">
        <w:r w:rsidRPr="00C96794">
          <w:rPr>
            <w:rFonts w:ascii="Calibri" w:eastAsia="Times New Roman" w:hAnsi="Calibri" w:cs="Calibri"/>
            <w:color w:val="0563C1"/>
            <w:kern w:val="0"/>
            <w:sz w:val="24"/>
            <w:szCs w:val="24"/>
            <w:u w:val="single"/>
            <w:lang w:val="en-US"/>
            <w14:ligatures w14:val="none"/>
          </w:rPr>
          <w:t>https://www.tradingview.com/symbols/FINRA-MCD6153327/</w:t>
        </w:r>
      </w:hyperlink>
    </w:p>
    <w:p w14:paraId="5F6B0B12" w14:textId="15853F86" w:rsidR="00A04C15" w:rsidRPr="00C96794" w:rsidRDefault="00A04C15" w:rsidP="00A04C15">
      <w:pPr>
        <w:rPr>
          <w:sz w:val="24"/>
          <w:szCs w:val="24"/>
          <w:lang w:val="en-US"/>
        </w:rPr>
      </w:pPr>
      <w:r w:rsidRPr="00C96794">
        <w:rPr>
          <w:sz w:val="24"/>
          <w:szCs w:val="24"/>
          <w:lang w:val="en-US"/>
        </w:rPr>
        <w:t xml:space="preserve">And took McDonalds </w:t>
      </w:r>
      <w:proofErr w:type="gramStart"/>
      <w:r w:rsidRPr="00C96794">
        <w:rPr>
          <w:sz w:val="24"/>
          <w:szCs w:val="24"/>
          <w:lang w:val="en-US"/>
        </w:rPr>
        <w:t>10 year</w:t>
      </w:r>
      <w:proofErr w:type="gramEnd"/>
      <w:r w:rsidRPr="00C96794">
        <w:rPr>
          <w:sz w:val="24"/>
          <w:szCs w:val="24"/>
          <w:lang w:val="en-US"/>
        </w:rPr>
        <w:t xml:space="preserve"> corporate bond that matures in 2036. As of our valuation date selected bond </w:t>
      </w:r>
      <w:proofErr w:type="gramStart"/>
      <w:r w:rsidRPr="00C96794">
        <w:rPr>
          <w:sz w:val="24"/>
          <w:szCs w:val="24"/>
          <w:lang w:val="en-US"/>
        </w:rPr>
        <w:t>has</w:t>
      </w:r>
      <w:proofErr w:type="gramEnd"/>
      <w:r w:rsidRPr="00C96794">
        <w:rPr>
          <w:sz w:val="24"/>
          <w:szCs w:val="24"/>
          <w:lang w:val="en-US"/>
        </w:rPr>
        <w:t xml:space="preserve"> 9.63 years until maturity and 5% coupon rate. To calculate pretax cost of debt we </w:t>
      </w:r>
      <w:proofErr w:type="gramStart"/>
      <w:r w:rsidRPr="00C96794">
        <w:rPr>
          <w:sz w:val="24"/>
          <w:szCs w:val="24"/>
          <w:lang w:val="en-US"/>
        </w:rPr>
        <w:t>used  Excel</w:t>
      </w:r>
      <w:proofErr w:type="gramEnd"/>
      <w:r w:rsidRPr="00C96794">
        <w:rPr>
          <w:sz w:val="24"/>
          <w:szCs w:val="24"/>
          <w:lang w:val="en-US"/>
        </w:rPr>
        <w:t xml:space="preserve"> “RATE”. For tax rate we selected standard corporate marginal tax rate of 25%, after which we got our after-tax cost of debt to be 3.74%.</w:t>
      </w:r>
    </w:p>
    <w:p w14:paraId="4E06FEE8" w14:textId="4E326566" w:rsidR="00A04C15" w:rsidRDefault="002B17E6" w:rsidP="002B17E6">
      <w:pPr>
        <w:pStyle w:val="Heading1"/>
        <w:jc w:val="center"/>
        <w:rPr>
          <w:lang w:val="en-US"/>
        </w:rPr>
      </w:pPr>
      <w:r>
        <w:rPr>
          <w:lang w:val="en-US"/>
        </w:rPr>
        <w:t xml:space="preserve"> </w:t>
      </w:r>
      <w:r w:rsidR="00A04C15">
        <w:rPr>
          <w:lang w:val="en-US"/>
        </w:rPr>
        <w:t xml:space="preserve">Cost of </w:t>
      </w:r>
      <w:r>
        <w:rPr>
          <w:lang w:val="en-US"/>
        </w:rPr>
        <w:t>Equity</w:t>
      </w:r>
      <w:r w:rsidR="00BC4E46">
        <w:rPr>
          <w:lang w:val="en-US"/>
        </w:rPr>
        <w:t xml:space="preserve"> </w:t>
      </w:r>
      <w:bookmarkStart w:id="0" w:name="_Hlk234066091"/>
      <w:r w:rsidR="00BC4E46">
        <w:rPr>
          <w:lang w:val="en-US"/>
        </w:rPr>
        <w:t xml:space="preserve">and Beta &amp; Scatter </w:t>
      </w:r>
      <w:bookmarkEnd w:id="0"/>
    </w:p>
    <w:p w14:paraId="06387BAE" w14:textId="77777777" w:rsidR="009467FD" w:rsidRPr="00C96794" w:rsidRDefault="009467FD" w:rsidP="00A04C15">
      <w:pPr>
        <w:rPr>
          <w:sz w:val="24"/>
          <w:szCs w:val="24"/>
          <w:lang w:val="en-US"/>
        </w:rPr>
      </w:pPr>
      <w:r w:rsidRPr="00C96794">
        <w:rPr>
          <w:sz w:val="24"/>
          <w:szCs w:val="24"/>
          <w:lang w:val="en-US"/>
        </w:rPr>
        <w:t xml:space="preserve">To calculate cost of equity we used </w:t>
      </w:r>
      <w:proofErr w:type="gramStart"/>
      <w:r w:rsidRPr="00C96794">
        <w:rPr>
          <w:sz w:val="24"/>
          <w:szCs w:val="24"/>
          <w:lang w:val="en-US"/>
        </w:rPr>
        <w:t>CAPM :</w:t>
      </w:r>
      <w:proofErr w:type="gramEnd"/>
    </w:p>
    <w:p w14:paraId="5066A0D7" w14:textId="2949907B" w:rsidR="00A04C15" w:rsidRPr="00C96794" w:rsidRDefault="009467FD" w:rsidP="00A04C15">
      <w:pPr>
        <w:rPr>
          <w:sz w:val="24"/>
          <w:szCs w:val="24"/>
          <w:lang w:val="en-US"/>
        </w:rPr>
      </w:pPr>
      <w:r w:rsidRPr="00C96794">
        <w:rPr>
          <w:noProof/>
          <w:sz w:val="24"/>
          <w:szCs w:val="24"/>
        </w:rPr>
        <w:drawing>
          <wp:inline distT="0" distB="0" distL="0" distR="0" wp14:anchorId="0666FFBF" wp14:editId="386DE7DA">
            <wp:extent cx="2292350" cy="2070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92350" cy="207010"/>
                    </a:xfrm>
                    <a:prstGeom prst="rect">
                      <a:avLst/>
                    </a:prstGeom>
                    <a:noFill/>
                  </pic:spPr>
                </pic:pic>
              </a:graphicData>
            </a:graphic>
          </wp:inline>
        </w:drawing>
      </w:r>
    </w:p>
    <w:p w14:paraId="125B326E" w14:textId="4FB6E4E4" w:rsidR="009467FD" w:rsidRPr="00C96794" w:rsidRDefault="009467FD" w:rsidP="007535DA">
      <w:pPr>
        <w:rPr>
          <w:sz w:val="24"/>
          <w:szCs w:val="24"/>
          <w:lang w:val="en-US"/>
        </w:rPr>
      </w:pPr>
      <w:r w:rsidRPr="00C96794">
        <w:rPr>
          <w:sz w:val="24"/>
          <w:szCs w:val="24"/>
          <w:lang w:val="en-US"/>
        </w:rPr>
        <w:t xml:space="preserve">For the formula therefore we needed risk free rate, beta and market return. </w:t>
      </w:r>
    </w:p>
    <w:p w14:paraId="33D8D66C" w14:textId="4A52E6B7" w:rsidR="009467FD" w:rsidRPr="00C96794" w:rsidRDefault="007535DA" w:rsidP="00A04C15">
      <w:pPr>
        <w:rPr>
          <w:rFonts w:ascii="Calibri" w:eastAsia="Times New Roman" w:hAnsi="Calibri" w:cs="Calibri"/>
          <w:kern w:val="0"/>
          <w:sz w:val="24"/>
          <w:szCs w:val="24"/>
          <w:lang w:val="en-US"/>
          <w14:ligatures w14:val="none"/>
        </w:rPr>
      </w:pPr>
      <w:r w:rsidRPr="00C96794">
        <w:rPr>
          <w:rFonts w:ascii="Calibri" w:eastAsia="Times New Roman" w:hAnsi="Calibri" w:cs="Calibri"/>
          <w:b/>
          <w:bCs/>
          <w:kern w:val="0"/>
          <w:sz w:val="24"/>
          <w:szCs w:val="24"/>
          <w:lang w:val="en-US"/>
          <w14:ligatures w14:val="none"/>
        </w:rPr>
        <w:lastRenderedPageBreak/>
        <w:t>Risk-Free Rate:</w:t>
      </w:r>
      <w:r w:rsidRPr="00C96794">
        <w:rPr>
          <w:rFonts w:ascii="Calibri" w:eastAsia="Times New Roman" w:hAnsi="Calibri" w:cs="Calibri"/>
          <w:kern w:val="0"/>
          <w:sz w:val="24"/>
          <w:szCs w:val="24"/>
          <w:lang w:val="en-US"/>
          <w14:ligatures w14:val="none"/>
        </w:rPr>
        <w:t xml:space="preserve"> For our model, we used 10-Year US Treasury Bond yield. We get this data from:</w:t>
      </w:r>
    </w:p>
    <w:p w14:paraId="667C0084" w14:textId="77777777" w:rsidR="007535DA" w:rsidRPr="00C96794" w:rsidRDefault="007535DA" w:rsidP="007535DA">
      <w:pPr>
        <w:spacing w:after="0" w:line="240" w:lineRule="auto"/>
        <w:rPr>
          <w:rFonts w:ascii="Calibri" w:eastAsia="Times New Roman" w:hAnsi="Calibri" w:cs="Calibri"/>
          <w:color w:val="0563C1"/>
          <w:kern w:val="0"/>
          <w:sz w:val="24"/>
          <w:szCs w:val="24"/>
          <w:u w:val="single"/>
          <w:lang w:val="en-US"/>
          <w14:ligatures w14:val="none"/>
        </w:rPr>
      </w:pPr>
      <w:hyperlink r:id="rId7" w:history="1">
        <w:r w:rsidRPr="00C96794">
          <w:rPr>
            <w:rFonts w:ascii="Calibri" w:eastAsia="Times New Roman" w:hAnsi="Calibri" w:cs="Calibri"/>
            <w:color w:val="0563C1"/>
            <w:kern w:val="0"/>
            <w:sz w:val="24"/>
            <w:szCs w:val="24"/>
            <w:u w:val="single"/>
            <w:lang w:val="en-US"/>
            <w14:ligatures w14:val="none"/>
          </w:rPr>
          <w:t>https://www.investing.com/rates-bonds/u.s.-10-year-bond-yield-historical-data</w:t>
        </w:r>
      </w:hyperlink>
    </w:p>
    <w:p w14:paraId="1299D0FE" w14:textId="77777777" w:rsidR="007535DA" w:rsidRPr="00C96794" w:rsidRDefault="007535DA" w:rsidP="007535DA">
      <w:pPr>
        <w:rPr>
          <w:sz w:val="24"/>
          <w:szCs w:val="24"/>
          <w:lang w:val="en-US"/>
        </w:rPr>
      </w:pPr>
    </w:p>
    <w:p w14:paraId="7B1641C5" w14:textId="08268A38" w:rsidR="007535DA" w:rsidRPr="00C96794" w:rsidRDefault="007535DA" w:rsidP="007535DA">
      <w:pPr>
        <w:rPr>
          <w:sz w:val="24"/>
          <w:szCs w:val="24"/>
          <w:lang w:val="en-US"/>
        </w:rPr>
      </w:pPr>
      <w:r w:rsidRPr="00C96794">
        <w:rPr>
          <w:b/>
          <w:bCs/>
          <w:sz w:val="24"/>
          <w:szCs w:val="24"/>
          <w:lang w:val="en-US"/>
        </w:rPr>
        <w:t>Expected Market Return:</w:t>
      </w:r>
      <w:r w:rsidRPr="00C96794">
        <w:rPr>
          <w:sz w:val="24"/>
          <w:szCs w:val="24"/>
          <w:lang w:val="en-US"/>
        </w:rPr>
        <w:t xml:space="preserve"> This is the expected return of the broader market. We find this expectation using historical data from the NYSE Composite Index</w:t>
      </w:r>
      <w:r w:rsidRPr="00C96794">
        <w:rPr>
          <w:b/>
          <w:bCs/>
          <w:sz w:val="24"/>
          <w:szCs w:val="24"/>
          <w:lang w:val="en-US"/>
        </w:rPr>
        <w:t xml:space="preserve"> </w:t>
      </w:r>
      <w:r w:rsidRPr="00C96794">
        <w:rPr>
          <w:sz w:val="24"/>
          <w:szCs w:val="24"/>
          <w:lang w:val="en-US"/>
        </w:rPr>
        <w:t xml:space="preserve">that we get from Yahoo Finance. To find the long-term compound annual growth rate over </w:t>
      </w:r>
      <w:proofErr w:type="gramStart"/>
      <w:r w:rsidR="00AD4BBB" w:rsidRPr="00C96794">
        <w:rPr>
          <w:sz w:val="24"/>
          <w:szCs w:val="24"/>
          <w:lang w:val="en-US"/>
        </w:rPr>
        <w:t xml:space="preserve">the </w:t>
      </w:r>
      <w:r w:rsidRPr="00C96794">
        <w:rPr>
          <w:sz w:val="24"/>
          <w:szCs w:val="24"/>
          <w:lang w:val="en-US"/>
        </w:rPr>
        <w:t xml:space="preserve"> years</w:t>
      </w:r>
      <w:proofErr w:type="gramEnd"/>
      <w:r w:rsidRPr="00C96794">
        <w:rPr>
          <w:sz w:val="24"/>
          <w:szCs w:val="24"/>
          <w:lang w:val="en-US"/>
        </w:rPr>
        <w:t>, we use the formula:</w:t>
      </w:r>
    </w:p>
    <w:p w14:paraId="457026DB" w14:textId="43017A2E" w:rsidR="007535DA" w:rsidRPr="00C96794" w:rsidRDefault="007535DA" w:rsidP="007535DA">
      <w:pPr>
        <w:rPr>
          <w:sz w:val="24"/>
          <w:szCs w:val="24"/>
          <w:lang w:val="en-US"/>
        </w:rPr>
      </w:pPr>
      <w:r w:rsidRPr="00C96794">
        <w:rPr>
          <w:noProof/>
          <w:sz w:val="24"/>
          <w:szCs w:val="24"/>
        </w:rPr>
        <w:drawing>
          <wp:inline distT="0" distB="0" distL="0" distR="0" wp14:anchorId="301F79EB" wp14:editId="01E1803E">
            <wp:extent cx="5730240" cy="64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467A4DFF" w14:textId="210E28B0" w:rsidR="007535DA" w:rsidRPr="00C96794" w:rsidRDefault="007535DA" w:rsidP="00A04C15">
      <w:pPr>
        <w:rPr>
          <w:sz w:val="24"/>
          <w:szCs w:val="24"/>
          <w:lang w:val="en-US"/>
        </w:rPr>
      </w:pPr>
      <w:r w:rsidRPr="00C96794">
        <w:rPr>
          <w:sz w:val="24"/>
          <w:szCs w:val="24"/>
          <w:lang w:val="en-US"/>
        </w:rPr>
        <w:t>Where Y is index value in starting year, N is index value in ending year, n is year faction between starting and ending dates calculated with Excel “YEARFRAC” formula and R is our market return.</w:t>
      </w:r>
    </w:p>
    <w:p w14:paraId="4E6DC618" w14:textId="156258A0" w:rsidR="00025847" w:rsidRPr="00C96794" w:rsidRDefault="00025847" w:rsidP="00A04C15">
      <w:pPr>
        <w:rPr>
          <w:sz w:val="24"/>
          <w:szCs w:val="24"/>
          <w:lang w:val="en-US"/>
        </w:rPr>
      </w:pPr>
      <w:r w:rsidRPr="00C96794">
        <w:rPr>
          <w:b/>
          <w:bCs/>
          <w:sz w:val="24"/>
          <w:szCs w:val="24"/>
          <w:lang w:val="en-US"/>
        </w:rPr>
        <w:t>beta:</w:t>
      </w:r>
      <w:r w:rsidRPr="00C96794">
        <w:rPr>
          <w:sz w:val="24"/>
          <w:szCs w:val="24"/>
          <w:lang w:val="en-US"/>
        </w:rPr>
        <w:t xml:space="preserve"> This measures the systematic risk of the </w:t>
      </w:r>
      <w:proofErr w:type="gramStart"/>
      <w:r w:rsidRPr="00C96794">
        <w:rPr>
          <w:sz w:val="24"/>
          <w:szCs w:val="24"/>
          <w:lang w:val="en-US"/>
        </w:rPr>
        <w:t>stock relative to the</w:t>
      </w:r>
      <w:proofErr w:type="gramEnd"/>
      <w:r w:rsidRPr="00C96794">
        <w:rPr>
          <w:sz w:val="24"/>
          <w:szCs w:val="24"/>
          <w:lang w:val="en-US"/>
        </w:rPr>
        <w:t xml:space="preserve"> market. It can be calculated using a direct historical regression or through a Bottom-Up Beta approach.</w:t>
      </w:r>
    </w:p>
    <w:p w14:paraId="65B32D9D" w14:textId="77777777" w:rsidR="00AC3AA6" w:rsidRPr="00C96794" w:rsidRDefault="00AC3AA6" w:rsidP="00025847">
      <w:pPr>
        <w:rPr>
          <w:sz w:val="24"/>
          <w:szCs w:val="24"/>
          <w:lang w:val="en-US"/>
        </w:rPr>
      </w:pPr>
      <w:r w:rsidRPr="00C96794">
        <w:rPr>
          <w:sz w:val="24"/>
          <w:szCs w:val="24"/>
          <w:lang w:val="en-US"/>
        </w:rPr>
        <w:t xml:space="preserve">Why Bottom-up and not regression beta? </w:t>
      </w:r>
    </w:p>
    <w:p w14:paraId="7937EF07" w14:textId="1B4FED30" w:rsidR="00025847" w:rsidRPr="00C96794" w:rsidRDefault="00025847" w:rsidP="00025847">
      <w:pPr>
        <w:rPr>
          <w:sz w:val="24"/>
          <w:szCs w:val="24"/>
          <w:lang w:val="en-US"/>
        </w:rPr>
      </w:pPr>
      <w:r w:rsidRPr="00C96794">
        <w:rPr>
          <w:sz w:val="24"/>
          <w:szCs w:val="24"/>
          <w:lang w:val="en-US"/>
        </w:rPr>
        <w:t xml:space="preserve">A regression beta is </w:t>
      </w:r>
      <w:r w:rsidR="00AC3AA6" w:rsidRPr="00C96794">
        <w:rPr>
          <w:sz w:val="24"/>
          <w:szCs w:val="24"/>
          <w:lang w:val="en-US"/>
        </w:rPr>
        <w:t>completely</w:t>
      </w:r>
      <w:r w:rsidRPr="00C96794">
        <w:rPr>
          <w:sz w:val="24"/>
          <w:szCs w:val="24"/>
          <w:lang w:val="en-US"/>
        </w:rPr>
        <w:t xml:space="preserve"> </w:t>
      </w:r>
      <w:r w:rsidR="00AC3AA6" w:rsidRPr="00C96794">
        <w:rPr>
          <w:sz w:val="24"/>
          <w:szCs w:val="24"/>
          <w:lang w:val="en-US"/>
        </w:rPr>
        <w:t>historical</w:t>
      </w:r>
      <w:r w:rsidRPr="00C96794">
        <w:rPr>
          <w:sz w:val="24"/>
          <w:szCs w:val="24"/>
          <w:lang w:val="en-US"/>
        </w:rPr>
        <w:t xml:space="preserve">, highly volatile, and reflects a company's past business and financial mix. </w:t>
      </w:r>
      <w:r w:rsidR="00AC3AA6" w:rsidRPr="00C96794">
        <w:rPr>
          <w:sz w:val="24"/>
          <w:szCs w:val="24"/>
          <w:lang w:val="en-US"/>
        </w:rPr>
        <w:t>On the other hand</w:t>
      </w:r>
      <w:r w:rsidR="00BA0320" w:rsidRPr="00C96794">
        <w:rPr>
          <w:sz w:val="24"/>
          <w:szCs w:val="24"/>
          <w:lang w:val="en-US"/>
        </w:rPr>
        <w:t>,</w:t>
      </w:r>
      <w:r w:rsidRPr="00C96794">
        <w:rPr>
          <w:sz w:val="24"/>
          <w:szCs w:val="24"/>
          <w:lang w:val="en-US"/>
        </w:rPr>
        <w:t xml:space="preserve"> a Bottom-Up Beta is forward-looking, statistically precise, and isolates pure operating risk. It is calculated by taking the average Unlevered Beta of a comparable peer group and then "re-levering" it based on the specific target company's current capital structure. Instead of measuring the business risk of our target company in complete isolation, we need to capture the average business risk of the industry. Therefore, we find the direct competitors of the company, determine their individual business risks, average them out, and then add our target company's unique financial (debt) risk back in to find the final Re-levered Beta.</w:t>
      </w:r>
    </w:p>
    <w:p w14:paraId="7A3C299C" w14:textId="0567DB38" w:rsidR="00025847" w:rsidRPr="00C96794" w:rsidRDefault="00025847" w:rsidP="00025847">
      <w:pPr>
        <w:rPr>
          <w:sz w:val="24"/>
          <w:szCs w:val="24"/>
          <w:lang w:val="en-US"/>
        </w:rPr>
      </w:pPr>
      <w:r w:rsidRPr="00C96794">
        <w:rPr>
          <w:sz w:val="24"/>
          <w:szCs w:val="24"/>
          <w:lang w:val="en-US"/>
        </w:rPr>
        <w:t>Now there is how we find this beta:</w:t>
      </w:r>
    </w:p>
    <w:p w14:paraId="7F0E628F" w14:textId="557BAA76" w:rsidR="00025847" w:rsidRPr="00C96794" w:rsidRDefault="00025847" w:rsidP="00025847">
      <w:pPr>
        <w:pStyle w:val="ListParagraph"/>
        <w:numPr>
          <w:ilvl w:val="0"/>
          <w:numId w:val="2"/>
        </w:numPr>
        <w:rPr>
          <w:sz w:val="24"/>
          <w:szCs w:val="24"/>
          <w:lang w:val="en-US"/>
        </w:rPr>
      </w:pPr>
      <w:r w:rsidRPr="00C96794">
        <w:rPr>
          <w:sz w:val="24"/>
          <w:szCs w:val="24"/>
          <w:lang w:val="en-US"/>
        </w:rPr>
        <w:t>Firstly, calculate the Regression Beta for the target company and its main industry competitors (typically 3–4 large peer firms).</w:t>
      </w:r>
    </w:p>
    <w:p w14:paraId="0960BEC5" w14:textId="1DFE6592" w:rsidR="00025847" w:rsidRPr="00C96794" w:rsidRDefault="00025847" w:rsidP="00025847">
      <w:pPr>
        <w:pStyle w:val="ListParagraph"/>
        <w:numPr>
          <w:ilvl w:val="0"/>
          <w:numId w:val="2"/>
        </w:numPr>
        <w:rPr>
          <w:sz w:val="24"/>
          <w:szCs w:val="24"/>
          <w:lang w:val="en-US"/>
        </w:rPr>
      </w:pPr>
      <w:r w:rsidRPr="00C96794">
        <w:rPr>
          <w:sz w:val="24"/>
          <w:szCs w:val="24"/>
          <w:lang w:val="en-US"/>
        </w:rPr>
        <w:t>After finding regression beta we should find unlevered betas and their averages using this formula:</w:t>
      </w:r>
    </w:p>
    <w:p w14:paraId="41F4BC28" w14:textId="64E32BB6" w:rsidR="00025847" w:rsidRPr="00C96794" w:rsidRDefault="00025847" w:rsidP="00025847">
      <w:pPr>
        <w:pStyle w:val="ListParagraph"/>
        <w:rPr>
          <w:sz w:val="24"/>
          <w:szCs w:val="24"/>
          <w:lang w:val="en-US"/>
        </w:rPr>
      </w:pPr>
      <w:r w:rsidRPr="00C96794">
        <w:rPr>
          <w:noProof/>
          <w:sz w:val="24"/>
          <w:szCs w:val="24"/>
        </w:rPr>
        <w:drawing>
          <wp:inline distT="0" distB="0" distL="0" distR="0" wp14:anchorId="23C2CC33" wp14:editId="03207AD3">
            <wp:extent cx="2968625" cy="51943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8625" cy="519430"/>
                    </a:xfrm>
                    <a:prstGeom prst="rect">
                      <a:avLst/>
                    </a:prstGeom>
                    <a:noFill/>
                  </pic:spPr>
                </pic:pic>
              </a:graphicData>
            </a:graphic>
          </wp:inline>
        </w:drawing>
      </w:r>
    </w:p>
    <w:p w14:paraId="3C70EEA0" w14:textId="674BB6D8" w:rsidR="00025847" w:rsidRPr="00C96794" w:rsidRDefault="00025847" w:rsidP="00025847">
      <w:pPr>
        <w:pStyle w:val="ListParagraph"/>
        <w:numPr>
          <w:ilvl w:val="0"/>
          <w:numId w:val="2"/>
        </w:numPr>
        <w:rPr>
          <w:sz w:val="24"/>
          <w:szCs w:val="24"/>
          <w:lang w:val="en-US"/>
        </w:rPr>
      </w:pPr>
      <w:r w:rsidRPr="00C96794">
        <w:rPr>
          <w:sz w:val="24"/>
          <w:szCs w:val="24"/>
          <w:lang w:val="en-US"/>
        </w:rPr>
        <w:t>Then we re-lever the Average Beta specifically for our target company by factoring in its own debt-to-equity ratio and financial risk.</w:t>
      </w:r>
    </w:p>
    <w:p w14:paraId="72915376" w14:textId="4C6FF58D" w:rsidR="00BC4E46" w:rsidRPr="00C96794" w:rsidRDefault="00BC4E46" w:rsidP="00BC4E46">
      <w:pPr>
        <w:rPr>
          <w:sz w:val="24"/>
          <w:szCs w:val="24"/>
          <w:lang w:val="en-US"/>
        </w:rPr>
      </w:pPr>
      <w:r w:rsidRPr="00C96794">
        <w:rPr>
          <w:sz w:val="24"/>
          <w:szCs w:val="24"/>
          <w:lang w:val="en-US"/>
        </w:rPr>
        <w:t xml:space="preserve">To calculate regression </w:t>
      </w:r>
      <w:proofErr w:type="gramStart"/>
      <w:r w:rsidRPr="00C96794">
        <w:rPr>
          <w:sz w:val="24"/>
          <w:szCs w:val="24"/>
          <w:lang w:val="en-US"/>
        </w:rPr>
        <w:t>beta</w:t>
      </w:r>
      <w:proofErr w:type="gramEnd"/>
      <w:r w:rsidRPr="00C96794">
        <w:rPr>
          <w:sz w:val="24"/>
          <w:szCs w:val="24"/>
          <w:lang w:val="en-US"/>
        </w:rPr>
        <w:t xml:space="preserve"> we need historical stock prices for all our companies of interest as well as NYSE</w:t>
      </w:r>
      <w:r w:rsidR="00892407" w:rsidRPr="00C96794">
        <w:rPr>
          <w:sz w:val="24"/>
          <w:szCs w:val="24"/>
          <w:lang w:val="en-US"/>
        </w:rPr>
        <w:t>. T</w:t>
      </w:r>
      <w:r w:rsidRPr="00C96794">
        <w:rPr>
          <w:sz w:val="24"/>
          <w:szCs w:val="24"/>
          <w:lang w:val="en-US"/>
        </w:rPr>
        <w:t xml:space="preserve">hat </w:t>
      </w:r>
      <w:r w:rsidR="00892407" w:rsidRPr="00C96794">
        <w:rPr>
          <w:sz w:val="24"/>
          <w:szCs w:val="24"/>
          <w:lang w:val="en-US"/>
        </w:rPr>
        <w:t>information can be</w:t>
      </w:r>
      <w:r w:rsidRPr="00C96794">
        <w:rPr>
          <w:sz w:val="24"/>
          <w:szCs w:val="24"/>
          <w:lang w:val="en-US"/>
        </w:rPr>
        <w:t xml:space="preserve"> found on investing.com website: </w:t>
      </w:r>
    </w:p>
    <w:p w14:paraId="5E91FB44" w14:textId="6A5A1AE0" w:rsidR="00BC4E46" w:rsidRPr="00C96794" w:rsidRDefault="00BC4E46" w:rsidP="00BC4E46">
      <w:pPr>
        <w:rPr>
          <w:rFonts w:ascii="Calibri" w:eastAsia="Times New Roman" w:hAnsi="Calibri" w:cs="Calibri"/>
          <w:color w:val="0563C1"/>
          <w:kern w:val="0"/>
          <w:sz w:val="24"/>
          <w:szCs w:val="24"/>
          <w:u w:val="single"/>
          <w:lang w:val="en-US"/>
          <w14:ligatures w14:val="none"/>
        </w:rPr>
      </w:pPr>
      <w:hyperlink r:id="rId10" w:history="1">
        <w:r w:rsidRPr="00C96794">
          <w:rPr>
            <w:rStyle w:val="Hyperlink"/>
            <w:rFonts w:ascii="Calibri" w:eastAsia="Times New Roman" w:hAnsi="Calibri" w:cs="Calibri"/>
            <w:kern w:val="0"/>
            <w:sz w:val="24"/>
            <w:szCs w:val="24"/>
            <w:lang w:val="en-US"/>
            <w14:ligatures w14:val="none"/>
          </w:rPr>
          <w:t>https://www.investing.com/equities/mcdonalds-historical-data</w:t>
        </w:r>
      </w:hyperlink>
    </w:p>
    <w:p w14:paraId="3C4A3C11" w14:textId="276CAFB1" w:rsidR="00BC4E46" w:rsidRPr="00C96794" w:rsidRDefault="00892407" w:rsidP="00BC4E46">
      <w:pPr>
        <w:rPr>
          <w:rFonts w:ascii="Calibri" w:eastAsia="Times New Roman" w:hAnsi="Calibri" w:cs="Calibri"/>
          <w:kern w:val="0"/>
          <w:sz w:val="24"/>
          <w:szCs w:val="24"/>
          <w:lang w:val="en-US"/>
          <w14:ligatures w14:val="none"/>
        </w:rPr>
      </w:pPr>
      <w:proofErr w:type="gramStart"/>
      <w:r w:rsidRPr="00C96794">
        <w:rPr>
          <w:rFonts w:ascii="Calibri" w:eastAsia="Times New Roman" w:hAnsi="Calibri" w:cs="Calibri"/>
          <w:kern w:val="0"/>
          <w:sz w:val="24"/>
          <w:szCs w:val="24"/>
          <w:lang w:val="en-US"/>
          <w14:ligatures w14:val="none"/>
        </w:rPr>
        <w:t>we</w:t>
      </w:r>
      <w:proofErr w:type="gramEnd"/>
      <w:r w:rsidRPr="00C96794">
        <w:rPr>
          <w:rFonts w:ascii="Calibri" w:eastAsia="Times New Roman" w:hAnsi="Calibri" w:cs="Calibri"/>
          <w:kern w:val="0"/>
          <w:sz w:val="24"/>
          <w:szCs w:val="24"/>
          <w:lang w:val="en-US"/>
          <w14:ligatures w14:val="none"/>
        </w:rPr>
        <w:t xml:space="preserve"> find our regression betas by dividing covariance between NYSE and companies’ returns on variance of NYSE returns.</w:t>
      </w:r>
    </w:p>
    <w:p w14:paraId="131CFE45" w14:textId="27B019F5" w:rsidR="00892407" w:rsidRPr="00C96794" w:rsidRDefault="00892407" w:rsidP="00BC4E46">
      <w:pPr>
        <w:rPr>
          <w:rFonts w:ascii="Calibri" w:eastAsia="Times New Roman" w:hAnsi="Calibri" w:cs="Calibri"/>
          <w:kern w:val="0"/>
          <w:sz w:val="24"/>
          <w:szCs w:val="24"/>
          <w:lang w:val="en-US"/>
          <w14:ligatures w14:val="none"/>
        </w:rPr>
      </w:pPr>
      <w:r w:rsidRPr="00C96794">
        <w:rPr>
          <w:rFonts w:ascii="Calibri" w:eastAsia="Times New Roman" w:hAnsi="Calibri" w:cs="Calibri"/>
          <w:kern w:val="0"/>
          <w:sz w:val="24"/>
          <w:szCs w:val="24"/>
          <w:lang w:val="en-US"/>
          <w14:ligatures w14:val="none"/>
        </w:rPr>
        <w:lastRenderedPageBreak/>
        <w:t xml:space="preserve">After we find regression </w:t>
      </w:r>
      <w:proofErr w:type="gramStart"/>
      <w:r w:rsidRPr="00C96794">
        <w:rPr>
          <w:rFonts w:ascii="Calibri" w:eastAsia="Times New Roman" w:hAnsi="Calibri" w:cs="Calibri"/>
          <w:kern w:val="0"/>
          <w:sz w:val="24"/>
          <w:szCs w:val="24"/>
          <w:lang w:val="en-US"/>
          <w14:ligatures w14:val="none"/>
        </w:rPr>
        <w:t>betas</w:t>
      </w:r>
      <w:proofErr w:type="gramEnd"/>
      <w:r w:rsidRPr="00C96794">
        <w:rPr>
          <w:rFonts w:ascii="Calibri" w:eastAsia="Times New Roman" w:hAnsi="Calibri" w:cs="Calibri"/>
          <w:kern w:val="0"/>
          <w:sz w:val="24"/>
          <w:szCs w:val="24"/>
          <w:lang w:val="en-US"/>
          <w14:ligatures w14:val="none"/>
        </w:rPr>
        <w:t xml:space="preserve"> we need to calculate unlevered betas and their average for which we </w:t>
      </w:r>
      <w:proofErr w:type="gramStart"/>
      <w:r w:rsidRPr="00C96794">
        <w:rPr>
          <w:rFonts w:ascii="Calibri" w:eastAsia="Times New Roman" w:hAnsi="Calibri" w:cs="Calibri"/>
          <w:kern w:val="0"/>
          <w:sz w:val="24"/>
          <w:szCs w:val="24"/>
          <w:lang w:val="en-US"/>
          <w14:ligatures w14:val="none"/>
        </w:rPr>
        <w:t>have to</w:t>
      </w:r>
      <w:proofErr w:type="gramEnd"/>
      <w:r w:rsidRPr="00C96794">
        <w:rPr>
          <w:rFonts w:ascii="Calibri" w:eastAsia="Times New Roman" w:hAnsi="Calibri" w:cs="Calibri"/>
          <w:kern w:val="0"/>
          <w:sz w:val="24"/>
          <w:szCs w:val="24"/>
          <w:lang w:val="en-US"/>
          <w14:ligatures w14:val="none"/>
        </w:rPr>
        <w:t xml:space="preserve"> get companies’ debt and equity data, which can be found on: </w:t>
      </w:r>
    </w:p>
    <w:p w14:paraId="1E2993D5" w14:textId="017A8A05" w:rsidR="00892407" w:rsidRPr="00C96794" w:rsidRDefault="00892407" w:rsidP="00892407">
      <w:pPr>
        <w:spacing w:after="0" w:line="240" w:lineRule="auto"/>
        <w:rPr>
          <w:rFonts w:ascii="Calibri" w:eastAsia="Times New Roman" w:hAnsi="Calibri" w:cs="Calibri"/>
          <w:color w:val="0563C1"/>
          <w:kern w:val="0"/>
          <w:sz w:val="24"/>
          <w:szCs w:val="24"/>
          <w:u w:val="single"/>
          <w:lang w:val="en-US"/>
          <w14:ligatures w14:val="none"/>
        </w:rPr>
      </w:pPr>
      <w:hyperlink r:id="rId11" w:history="1">
        <w:r w:rsidRPr="00C96794">
          <w:rPr>
            <w:rFonts w:ascii="Calibri" w:eastAsia="Times New Roman" w:hAnsi="Calibri" w:cs="Calibri"/>
            <w:color w:val="0563C1"/>
            <w:kern w:val="0"/>
            <w:sz w:val="24"/>
            <w:szCs w:val="24"/>
            <w:u w:val="single"/>
            <w:lang w:val="en-US"/>
            <w14:ligatures w14:val="none"/>
          </w:rPr>
          <w:t>https://www.marketscreener.com/quote/stock/MCDONALD-S-CORPORATION-4833/</w:t>
        </w:r>
      </w:hyperlink>
      <w:r w:rsidRPr="00C96794">
        <w:rPr>
          <w:rFonts w:ascii="Calibri" w:eastAsia="Times New Roman" w:hAnsi="Calibri" w:cs="Calibri"/>
          <w:color w:val="0563C1"/>
          <w:kern w:val="0"/>
          <w:sz w:val="24"/>
          <w:szCs w:val="24"/>
          <w:u w:val="single"/>
          <w:lang w:val="en-US"/>
          <w14:ligatures w14:val="none"/>
        </w:rPr>
        <w:t>.</w:t>
      </w:r>
    </w:p>
    <w:p w14:paraId="0367A3F8" w14:textId="77777777" w:rsidR="00892407" w:rsidRPr="00C96794" w:rsidRDefault="00892407" w:rsidP="00892407">
      <w:pPr>
        <w:spacing w:after="0" w:line="240" w:lineRule="auto"/>
        <w:rPr>
          <w:rFonts w:ascii="Calibri" w:eastAsia="Times New Roman" w:hAnsi="Calibri" w:cs="Calibri"/>
          <w:color w:val="0563C1"/>
          <w:kern w:val="0"/>
          <w:sz w:val="24"/>
          <w:szCs w:val="24"/>
          <w:u w:val="single"/>
          <w:lang w:val="en-US"/>
          <w14:ligatures w14:val="none"/>
        </w:rPr>
      </w:pPr>
    </w:p>
    <w:p w14:paraId="2F67FADA" w14:textId="2951490D" w:rsidR="00892407" w:rsidRPr="00C96794" w:rsidRDefault="00892407" w:rsidP="00892407">
      <w:pPr>
        <w:spacing w:after="0" w:line="240" w:lineRule="auto"/>
        <w:rPr>
          <w:rFonts w:ascii="Calibri" w:eastAsia="Times New Roman" w:hAnsi="Calibri" w:cs="Calibri"/>
          <w:kern w:val="0"/>
          <w:sz w:val="24"/>
          <w:szCs w:val="24"/>
          <w:lang w:val="en-US"/>
          <w14:ligatures w14:val="none"/>
        </w:rPr>
      </w:pPr>
      <w:r w:rsidRPr="00C96794">
        <w:rPr>
          <w:rFonts w:ascii="Calibri" w:eastAsia="Times New Roman" w:hAnsi="Calibri" w:cs="Calibri"/>
          <w:kern w:val="0"/>
          <w:sz w:val="24"/>
          <w:szCs w:val="24"/>
          <w:lang w:val="en-US"/>
          <w14:ligatures w14:val="none"/>
        </w:rPr>
        <w:t>At last, after finding average of unlevered betas and re-levering it to find our beta for CAPM we can at last calculate cost of equity which in our case is 6.29%.</w:t>
      </w:r>
    </w:p>
    <w:p w14:paraId="08CD3DAA" w14:textId="77777777" w:rsidR="00892407" w:rsidRPr="00C96794" w:rsidRDefault="00892407" w:rsidP="00892407">
      <w:pPr>
        <w:spacing w:after="0" w:line="240" w:lineRule="auto"/>
        <w:rPr>
          <w:rFonts w:ascii="Calibri" w:eastAsia="Times New Roman" w:hAnsi="Calibri" w:cs="Calibri"/>
          <w:kern w:val="0"/>
          <w:sz w:val="24"/>
          <w:szCs w:val="24"/>
          <w:lang w:val="en-US"/>
          <w14:ligatures w14:val="none"/>
        </w:rPr>
      </w:pPr>
    </w:p>
    <w:p w14:paraId="1F4C72F2" w14:textId="3BED3AEB" w:rsidR="00490DCB" w:rsidRPr="00C96794" w:rsidRDefault="00490DCB" w:rsidP="00892407">
      <w:pPr>
        <w:spacing w:after="0" w:line="240" w:lineRule="auto"/>
        <w:rPr>
          <w:rFonts w:ascii="Calibri" w:eastAsia="Times New Roman" w:hAnsi="Calibri" w:cs="Calibri"/>
          <w:b/>
          <w:bCs/>
          <w:kern w:val="0"/>
          <w:sz w:val="24"/>
          <w:szCs w:val="24"/>
          <w:lang w:val="en-US"/>
          <w14:ligatures w14:val="none"/>
        </w:rPr>
      </w:pPr>
      <w:r w:rsidRPr="00C96794">
        <w:rPr>
          <w:rFonts w:ascii="Calibri" w:eastAsia="Times New Roman" w:hAnsi="Calibri" w:cs="Calibri"/>
          <w:b/>
          <w:bCs/>
          <w:kern w:val="0"/>
          <w:sz w:val="24"/>
          <w:szCs w:val="24"/>
          <w:lang w:val="en-US"/>
          <w14:ligatures w14:val="none"/>
        </w:rPr>
        <w:t>Beta and scatter:</w:t>
      </w:r>
    </w:p>
    <w:p w14:paraId="14ACE5B9" w14:textId="49D786A1" w:rsidR="00490DCB" w:rsidRPr="00C96794" w:rsidRDefault="00490DCB" w:rsidP="00892407">
      <w:pPr>
        <w:spacing w:after="0" w:line="240" w:lineRule="auto"/>
        <w:rPr>
          <w:rFonts w:ascii="Calibri" w:eastAsia="Times New Roman" w:hAnsi="Calibri" w:cs="Calibri"/>
          <w:kern w:val="0"/>
          <w:sz w:val="24"/>
          <w:szCs w:val="24"/>
          <w:lang w:val="en-US"/>
          <w14:ligatures w14:val="none"/>
        </w:rPr>
      </w:pPr>
      <w:r w:rsidRPr="00C96794">
        <w:rPr>
          <w:rFonts w:ascii="Calibri" w:eastAsia="Times New Roman" w:hAnsi="Calibri" w:cs="Calibri"/>
          <w:kern w:val="0"/>
          <w:sz w:val="24"/>
          <w:szCs w:val="24"/>
          <w:lang w:val="en-US"/>
          <w14:ligatures w14:val="none"/>
        </w:rPr>
        <w:t xml:space="preserve">In </w:t>
      </w:r>
      <w:proofErr w:type="gramStart"/>
      <w:r w:rsidRPr="00C96794">
        <w:rPr>
          <w:rFonts w:ascii="Calibri" w:eastAsia="Times New Roman" w:hAnsi="Calibri" w:cs="Calibri"/>
          <w:kern w:val="0"/>
          <w:sz w:val="24"/>
          <w:szCs w:val="24"/>
          <w:lang w:val="en-US"/>
          <w14:ligatures w14:val="none"/>
        </w:rPr>
        <w:t>general</w:t>
      </w:r>
      <w:proofErr w:type="gramEnd"/>
      <w:r w:rsidRPr="00C96794">
        <w:rPr>
          <w:rFonts w:ascii="Calibri" w:eastAsia="Times New Roman" w:hAnsi="Calibri" w:cs="Calibri"/>
          <w:kern w:val="0"/>
          <w:sz w:val="24"/>
          <w:szCs w:val="24"/>
          <w:lang w:val="en-US"/>
          <w14:ligatures w14:val="none"/>
        </w:rPr>
        <w:t xml:space="preserve"> there are multiple ways to calculate beta:</w:t>
      </w:r>
    </w:p>
    <w:p w14:paraId="1487FA8D" w14:textId="6E653B75" w:rsidR="00490DCB" w:rsidRPr="00C96794" w:rsidRDefault="00490DCB" w:rsidP="00490DCB">
      <w:pPr>
        <w:pStyle w:val="ListParagraph"/>
        <w:numPr>
          <w:ilvl w:val="0"/>
          <w:numId w:val="3"/>
        </w:numPr>
        <w:spacing w:after="0" w:line="240" w:lineRule="auto"/>
        <w:rPr>
          <w:rFonts w:ascii="Calibri" w:eastAsia="Times New Roman" w:hAnsi="Calibri" w:cs="Calibri"/>
          <w:kern w:val="0"/>
          <w:sz w:val="24"/>
          <w:szCs w:val="24"/>
          <w:lang w:val="en-US"/>
          <w14:ligatures w14:val="none"/>
        </w:rPr>
      </w:pPr>
      <w:r w:rsidRPr="00C96794">
        <w:rPr>
          <w:rFonts w:ascii="Calibri" w:eastAsia="Times New Roman" w:hAnsi="Calibri" w:cs="Calibri"/>
          <w:kern w:val="0"/>
          <w:sz w:val="24"/>
          <w:szCs w:val="24"/>
          <w:lang w:val="en-US"/>
          <w14:ligatures w14:val="none"/>
        </w:rPr>
        <w:t>Covariance/variance (the one we used)</w:t>
      </w:r>
    </w:p>
    <w:p w14:paraId="00B95231" w14:textId="0FAD5C36" w:rsidR="00490DCB" w:rsidRPr="00C96794" w:rsidRDefault="00490DCB" w:rsidP="00490DCB">
      <w:pPr>
        <w:pStyle w:val="ListParagraph"/>
        <w:numPr>
          <w:ilvl w:val="0"/>
          <w:numId w:val="3"/>
        </w:numPr>
        <w:spacing w:after="0" w:line="240" w:lineRule="auto"/>
        <w:rPr>
          <w:rFonts w:ascii="Calibri" w:eastAsia="Times New Roman" w:hAnsi="Calibri" w:cs="Calibri"/>
          <w:kern w:val="0"/>
          <w:sz w:val="24"/>
          <w:szCs w:val="24"/>
          <w:lang w:val="en-US"/>
          <w14:ligatures w14:val="none"/>
        </w:rPr>
      </w:pPr>
      <w:r w:rsidRPr="00C96794">
        <w:rPr>
          <w:rFonts w:ascii="Calibri" w:eastAsia="Times New Roman" w:hAnsi="Calibri" w:cs="Calibri"/>
          <w:kern w:val="0"/>
          <w:sz w:val="24"/>
          <w:szCs w:val="24"/>
          <w:lang w:val="en-US"/>
          <w14:ligatures w14:val="none"/>
        </w:rPr>
        <w:t>Using the SLOPE function in Microsoft Excel.</w:t>
      </w:r>
    </w:p>
    <w:p w14:paraId="6092C83D" w14:textId="4C581832" w:rsidR="00490DCB" w:rsidRPr="00C96794" w:rsidRDefault="00490DCB" w:rsidP="00490DCB">
      <w:pPr>
        <w:pStyle w:val="ListParagraph"/>
        <w:numPr>
          <w:ilvl w:val="0"/>
          <w:numId w:val="3"/>
        </w:numPr>
        <w:spacing w:after="0" w:line="240" w:lineRule="auto"/>
        <w:rPr>
          <w:rFonts w:ascii="Calibri" w:eastAsia="Times New Roman" w:hAnsi="Calibri" w:cs="Calibri"/>
          <w:kern w:val="0"/>
          <w:sz w:val="24"/>
          <w:szCs w:val="24"/>
          <w:lang w:val="en-US"/>
          <w14:ligatures w14:val="none"/>
        </w:rPr>
      </w:pPr>
      <w:r w:rsidRPr="00C96794">
        <w:rPr>
          <w:rFonts w:ascii="Calibri" w:eastAsia="Times New Roman" w:hAnsi="Calibri" w:cs="Calibri"/>
          <w:kern w:val="0"/>
          <w:sz w:val="24"/>
          <w:szCs w:val="24"/>
          <w:lang w:val="en-US"/>
          <w14:ligatures w14:val="none"/>
        </w:rPr>
        <w:t>Performing a linear regression, where the stock's returns are regressed on the market's returns. The slope coefficient of the regression line is the beta.</w:t>
      </w:r>
    </w:p>
    <w:p w14:paraId="6AB940AC" w14:textId="706E9881" w:rsidR="00490DCB" w:rsidRPr="00C96794" w:rsidRDefault="00490DCB" w:rsidP="00490DCB">
      <w:pPr>
        <w:pStyle w:val="ListParagraph"/>
        <w:numPr>
          <w:ilvl w:val="0"/>
          <w:numId w:val="3"/>
        </w:numPr>
        <w:spacing w:after="0" w:line="240" w:lineRule="auto"/>
        <w:rPr>
          <w:rFonts w:ascii="Calibri" w:eastAsia="Times New Roman" w:hAnsi="Calibri" w:cs="Calibri"/>
          <w:kern w:val="0"/>
          <w:sz w:val="24"/>
          <w:szCs w:val="24"/>
          <w:lang w:val="en-US"/>
          <w14:ligatures w14:val="none"/>
        </w:rPr>
      </w:pPr>
      <w:r w:rsidRPr="00C96794">
        <w:rPr>
          <w:rFonts w:ascii="Calibri" w:eastAsia="Times New Roman" w:hAnsi="Calibri" w:cs="Calibri"/>
          <w:kern w:val="0"/>
          <w:sz w:val="24"/>
          <w:szCs w:val="24"/>
          <w:lang w:val="en-US"/>
          <w14:ligatures w14:val="none"/>
        </w:rPr>
        <w:t>Creating a scatter plot of the stock's returns against the market's returns and fitting a trendline. The slope of the trendline represents the beta.</w:t>
      </w:r>
    </w:p>
    <w:p w14:paraId="12BF6D72" w14:textId="6588840A" w:rsidR="00490DCB" w:rsidRPr="00C96794" w:rsidRDefault="00490DCB" w:rsidP="00490DCB">
      <w:pPr>
        <w:spacing w:after="0" w:line="240" w:lineRule="auto"/>
        <w:rPr>
          <w:rFonts w:ascii="Calibri" w:eastAsia="Times New Roman" w:hAnsi="Calibri" w:cs="Calibri"/>
          <w:kern w:val="0"/>
          <w:sz w:val="24"/>
          <w:szCs w:val="24"/>
          <w:lang w:val="en-US"/>
          <w14:ligatures w14:val="none"/>
        </w:rPr>
      </w:pPr>
      <w:r w:rsidRPr="00C96794">
        <w:rPr>
          <w:rFonts w:ascii="Calibri" w:eastAsia="Times New Roman" w:hAnsi="Calibri" w:cs="Calibri"/>
          <w:kern w:val="0"/>
          <w:sz w:val="24"/>
          <w:szCs w:val="24"/>
          <w:lang w:val="en-US"/>
          <w14:ligatures w14:val="none"/>
        </w:rPr>
        <w:t>We also decided to create scatter plot of beta which is done using “Data Analysis” in DATA section in excel.</w:t>
      </w:r>
    </w:p>
    <w:p w14:paraId="1098F0D4" w14:textId="3A9B7C0D" w:rsidR="00490DCB" w:rsidRPr="00490DCB" w:rsidRDefault="00490DCB" w:rsidP="00490DCB">
      <w:pPr>
        <w:spacing w:after="0" w:line="240" w:lineRule="auto"/>
        <w:rPr>
          <w:rFonts w:ascii="Calibri" w:eastAsia="Times New Roman" w:hAnsi="Calibri" w:cs="Calibri"/>
          <w:kern w:val="0"/>
          <w:lang w:val="en-US"/>
          <w14:ligatures w14:val="none"/>
        </w:rPr>
      </w:pPr>
      <w:r>
        <w:rPr>
          <w:noProof/>
        </w:rPr>
        <w:drawing>
          <wp:inline distT="0" distB="0" distL="0" distR="0" wp14:anchorId="79F2E12D" wp14:editId="0A42A3D4">
            <wp:extent cx="4175760" cy="2310765"/>
            <wp:effectExtent l="0" t="0" r="15240" b="13335"/>
            <wp:docPr id="2" name="Chart 2">
              <a:extLst xmlns:a="http://schemas.openxmlformats.org/drawingml/2006/main">
                <a:ext uri="{FF2B5EF4-FFF2-40B4-BE49-F238E27FC236}">
                  <a16:creationId xmlns:a16="http://schemas.microsoft.com/office/drawing/2014/main" id="{7FAF9C40-1775-4D95-92D6-57E6E1574A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C28A72E" w14:textId="77777777" w:rsidR="00A04C15" w:rsidRPr="00A04C15" w:rsidRDefault="00A04C15" w:rsidP="00A04C15">
      <w:pPr>
        <w:rPr>
          <w:lang w:val="en-US"/>
        </w:rPr>
      </w:pPr>
    </w:p>
    <w:p w14:paraId="1EB17644" w14:textId="56645085" w:rsidR="00A04C15" w:rsidRDefault="00141C9F" w:rsidP="00A04C15">
      <w:pPr>
        <w:pStyle w:val="Heading1"/>
        <w:jc w:val="center"/>
        <w:rPr>
          <w:b/>
          <w:bCs/>
          <w:lang w:val="en-US"/>
        </w:rPr>
      </w:pPr>
      <w:r>
        <w:rPr>
          <w:b/>
          <w:bCs/>
          <w:lang w:val="en-US"/>
        </w:rPr>
        <w:t>F</w:t>
      </w:r>
      <w:r w:rsidR="002B17E6" w:rsidRPr="002B17E6">
        <w:rPr>
          <w:b/>
          <w:bCs/>
          <w:lang w:val="en-US"/>
        </w:rPr>
        <w:t>inal</w:t>
      </w:r>
      <w:r w:rsidR="002B17E6">
        <w:rPr>
          <w:lang w:val="en-US"/>
        </w:rPr>
        <w:t xml:space="preserve"> </w:t>
      </w:r>
      <w:r w:rsidR="002B17E6" w:rsidRPr="002B17E6">
        <w:rPr>
          <w:b/>
          <w:bCs/>
          <w:lang w:val="en-US"/>
        </w:rPr>
        <w:t>valuation</w:t>
      </w:r>
      <w:r w:rsidR="00A04C15">
        <w:rPr>
          <w:b/>
          <w:bCs/>
          <w:lang w:val="en-US"/>
        </w:rPr>
        <w:t xml:space="preserve"> </w:t>
      </w:r>
    </w:p>
    <w:p w14:paraId="2ED1D9F3" w14:textId="677CF7B9" w:rsidR="008138C8" w:rsidRPr="00C96794" w:rsidRDefault="008138C8" w:rsidP="008138C8">
      <w:pPr>
        <w:rPr>
          <w:sz w:val="24"/>
          <w:szCs w:val="24"/>
          <w:lang w:val="en-US"/>
        </w:rPr>
      </w:pPr>
      <w:r w:rsidRPr="00C96794">
        <w:rPr>
          <w:sz w:val="24"/>
          <w:szCs w:val="24"/>
          <w:lang w:val="en-US"/>
        </w:rPr>
        <w:t xml:space="preserve">Our model finally estimates the intrinsic value of McDonald's based on free cash flows for the period </w:t>
      </w:r>
      <w:r w:rsidRPr="00C96794">
        <w:rPr>
          <w:b/>
          <w:bCs/>
          <w:sz w:val="24"/>
          <w:szCs w:val="24"/>
          <w:lang w:val="en-US"/>
        </w:rPr>
        <w:t>2026–2030</w:t>
      </w:r>
      <w:r w:rsidRPr="00C96794">
        <w:rPr>
          <w:sz w:val="24"/>
          <w:szCs w:val="24"/>
          <w:lang w:val="en-US"/>
        </w:rPr>
        <w:t xml:space="preserve"> and then assuming perpetual in rest of the periods. Under the base-case assumptions, including a </w:t>
      </w:r>
      <w:r w:rsidRPr="00C96794">
        <w:rPr>
          <w:b/>
          <w:bCs/>
          <w:sz w:val="24"/>
          <w:szCs w:val="24"/>
          <w:lang w:val="en-US"/>
        </w:rPr>
        <w:t xml:space="preserve">WACC of </w:t>
      </w:r>
      <w:r w:rsidR="00927D1A">
        <w:rPr>
          <w:b/>
          <w:bCs/>
          <w:sz w:val="24"/>
          <w:szCs w:val="24"/>
          <w:lang w:val="en-US"/>
        </w:rPr>
        <w:t>~</w:t>
      </w:r>
      <w:r w:rsidRPr="00C96794">
        <w:rPr>
          <w:b/>
          <w:bCs/>
          <w:sz w:val="24"/>
          <w:szCs w:val="24"/>
          <w:lang w:val="en-US"/>
        </w:rPr>
        <w:t>5.92%</w:t>
      </w:r>
      <w:r w:rsidRPr="00C96794">
        <w:rPr>
          <w:sz w:val="24"/>
          <w:szCs w:val="24"/>
          <w:lang w:val="en-US"/>
        </w:rPr>
        <w:t xml:space="preserve"> and a </w:t>
      </w:r>
      <w:r w:rsidRPr="00C96794">
        <w:rPr>
          <w:b/>
          <w:bCs/>
          <w:sz w:val="24"/>
          <w:szCs w:val="24"/>
          <w:lang w:val="en-US"/>
        </w:rPr>
        <w:t>US economy growth rate of 2.0%</w:t>
      </w:r>
      <w:r w:rsidRPr="00C96794">
        <w:rPr>
          <w:sz w:val="24"/>
          <w:szCs w:val="24"/>
          <w:lang w:val="en-US"/>
        </w:rPr>
        <w:t xml:space="preserve">, our model estimates the firm </w:t>
      </w:r>
      <w:r w:rsidRPr="00C96794">
        <w:rPr>
          <w:b/>
          <w:bCs/>
          <w:sz w:val="24"/>
          <w:szCs w:val="24"/>
          <w:lang w:val="en-US"/>
        </w:rPr>
        <w:t>value to be $242,9</w:t>
      </w:r>
      <w:r w:rsidR="00927D1A">
        <w:rPr>
          <w:b/>
          <w:bCs/>
          <w:sz w:val="24"/>
          <w:szCs w:val="24"/>
          <w:lang w:val="en-US"/>
        </w:rPr>
        <w:t>84</w:t>
      </w:r>
      <w:r w:rsidRPr="00C96794">
        <w:rPr>
          <w:b/>
          <w:bCs/>
          <w:sz w:val="24"/>
          <w:szCs w:val="24"/>
          <w:lang w:val="en-US"/>
        </w:rPr>
        <w:t>.</w:t>
      </w:r>
      <w:r w:rsidR="00927D1A">
        <w:rPr>
          <w:b/>
          <w:bCs/>
          <w:sz w:val="24"/>
          <w:szCs w:val="24"/>
          <w:lang w:val="en-US"/>
        </w:rPr>
        <w:t>1</w:t>
      </w:r>
      <w:r w:rsidRPr="00C96794">
        <w:rPr>
          <w:b/>
          <w:bCs/>
          <w:sz w:val="24"/>
          <w:szCs w:val="24"/>
          <w:lang w:val="en-US"/>
        </w:rPr>
        <w:t>4 million</w:t>
      </w:r>
      <w:r w:rsidRPr="00C96794">
        <w:rPr>
          <w:sz w:val="24"/>
          <w:szCs w:val="24"/>
          <w:lang w:val="en-US"/>
        </w:rPr>
        <w:t>.</w:t>
      </w:r>
    </w:p>
    <w:p w14:paraId="43A2FC32" w14:textId="06BB907E" w:rsidR="008138C8" w:rsidRPr="00C96794" w:rsidRDefault="008138C8" w:rsidP="008138C8">
      <w:pPr>
        <w:rPr>
          <w:sz w:val="24"/>
          <w:szCs w:val="24"/>
          <w:lang w:val="en-US"/>
        </w:rPr>
      </w:pPr>
      <w:r w:rsidRPr="00C96794">
        <w:rPr>
          <w:sz w:val="24"/>
          <w:szCs w:val="24"/>
          <w:lang w:val="en-US"/>
        </w:rPr>
        <w:t xml:space="preserve">After subtracting </w:t>
      </w:r>
      <w:r w:rsidRPr="00C96794">
        <w:rPr>
          <w:b/>
          <w:bCs/>
          <w:sz w:val="24"/>
          <w:szCs w:val="24"/>
          <w:lang w:val="en-US"/>
        </w:rPr>
        <w:t>total debt of $54,814.00 million</w:t>
      </w:r>
      <w:r w:rsidR="00927D1A">
        <w:rPr>
          <w:b/>
          <w:bCs/>
          <w:sz w:val="24"/>
          <w:szCs w:val="24"/>
          <w:lang w:val="en-US"/>
        </w:rPr>
        <w:t xml:space="preserve"> </w:t>
      </w:r>
      <w:r w:rsidR="00927D1A" w:rsidRPr="00927D1A">
        <w:rPr>
          <w:sz w:val="24"/>
          <w:szCs w:val="24"/>
          <w:lang w:val="en-US"/>
        </w:rPr>
        <w:t>(</w:t>
      </w:r>
      <w:r w:rsidR="00927D1A" w:rsidRPr="00927D1A">
        <w:rPr>
          <w:i/>
          <w:iCs/>
          <w:sz w:val="24"/>
          <w:szCs w:val="24"/>
          <w:lang w:val="en-US"/>
        </w:rPr>
        <w:t>or equivalently 54.814 billion</w:t>
      </w:r>
      <w:r w:rsidR="00927D1A" w:rsidRPr="00927D1A">
        <w:rPr>
          <w:sz w:val="24"/>
          <w:szCs w:val="24"/>
          <w:lang w:val="en-US"/>
        </w:rPr>
        <w:t>)</w:t>
      </w:r>
      <w:r w:rsidRPr="00C96794">
        <w:rPr>
          <w:sz w:val="24"/>
          <w:szCs w:val="24"/>
          <w:lang w:val="en-US"/>
        </w:rPr>
        <w:t xml:space="preserve">, adding </w:t>
      </w:r>
      <w:r w:rsidRPr="00C96794">
        <w:rPr>
          <w:b/>
          <w:bCs/>
          <w:sz w:val="24"/>
          <w:szCs w:val="24"/>
          <w:lang w:val="en-US"/>
        </w:rPr>
        <w:t>cash and cash equivalents of $774.00 million</w:t>
      </w:r>
      <w:r w:rsidRPr="00C96794">
        <w:rPr>
          <w:sz w:val="24"/>
          <w:szCs w:val="24"/>
          <w:lang w:val="en-US"/>
        </w:rPr>
        <w:t xml:space="preserve"> and accounting for </w:t>
      </w:r>
      <w:r w:rsidRPr="00C96794">
        <w:rPr>
          <w:b/>
          <w:bCs/>
          <w:sz w:val="24"/>
          <w:szCs w:val="24"/>
          <w:lang w:val="en-US"/>
        </w:rPr>
        <w:t>investments of $2,820.00 million</w:t>
      </w:r>
      <w:r w:rsidRPr="00C96794">
        <w:rPr>
          <w:sz w:val="24"/>
          <w:szCs w:val="24"/>
          <w:lang w:val="en-US"/>
        </w:rPr>
        <w:t xml:space="preserve">, the estimated </w:t>
      </w:r>
      <w:r w:rsidRPr="00C96794">
        <w:rPr>
          <w:b/>
          <w:bCs/>
          <w:sz w:val="24"/>
          <w:szCs w:val="24"/>
          <w:lang w:val="en-US"/>
        </w:rPr>
        <w:t>equity value was $191,</w:t>
      </w:r>
      <w:r w:rsidR="00927D1A">
        <w:rPr>
          <w:b/>
          <w:bCs/>
          <w:sz w:val="24"/>
          <w:szCs w:val="24"/>
          <w:lang w:val="en-US"/>
        </w:rPr>
        <w:t>764</w:t>
      </w:r>
      <w:r w:rsidRPr="00C96794">
        <w:rPr>
          <w:b/>
          <w:bCs/>
          <w:sz w:val="24"/>
          <w:szCs w:val="24"/>
          <w:lang w:val="en-US"/>
        </w:rPr>
        <w:t>.</w:t>
      </w:r>
      <w:r w:rsidR="00927D1A">
        <w:rPr>
          <w:b/>
          <w:bCs/>
          <w:sz w:val="24"/>
          <w:szCs w:val="24"/>
          <w:lang w:val="en-US"/>
        </w:rPr>
        <w:t>1</w:t>
      </w:r>
      <w:r w:rsidRPr="00C96794">
        <w:rPr>
          <w:b/>
          <w:bCs/>
          <w:sz w:val="24"/>
          <w:szCs w:val="24"/>
          <w:lang w:val="en-US"/>
        </w:rPr>
        <w:t>4 million</w:t>
      </w:r>
      <w:r w:rsidRPr="00C96794">
        <w:rPr>
          <w:sz w:val="24"/>
          <w:szCs w:val="24"/>
          <w:lang w:val="en-US"/>
        </w:rPr>
        <w:t xml:space="preserve">. Dividing this by the </w:t>
      </w:r>
      <w:r w:rsidRPr="00C96794">
        <w:rPr>
          <w:b/>
          <w:bCs/>
          <w:sz w:val="24"/>
          <w:szCs w:val="24"/>
          <w:lang w:val="en-US"/>
        </w:rPr>
        <w:t>716.4 million shares outstanding</w:t>
      </w:r>
      <w:r w:rsidRPr="00C96794">
        <w:rPr>
          <w:sz w:val="24"/>
          <w:szCs w:val="24"/>
          <w:lang w:val="en-US"/>
        </w:rPr>
        <w:t xml:space="preserve"> results in an estimated </w:t>
      </w:r>
      <w:r w:rsidRPr="00C96794">
        <w:rPr>
          <w:b/>
          <w:bCs/>
          <w:sz w:val="24"/>
          <w:szCs w:val="24"/>
          <w:lang w:val="en-US"/>
        </w:rPr>
        <w:t xml:space="preserve">intrinsic value of $267.57 per share </w:t>
      </w:r>
      <w:r w:rsidRPr="00C96794">
        <w:rPr>
          <w:sz w:val="24"/>
          <w:szCs w:val="24"/>
          <w:lang w:val="en-US"/>
        </w:rPr>
        <w:t>which was quite close to real stock price around those times (</w:t>
      </w:r>
      <w:r w:rsidRPr="00C96794">
        <w:rPr>
          <w:i/>
          <w:iCs/>
          <w:sz w:val="24"/>
          <w:szCs w:val="24"/>
          <w:lang w:val="en-US"/>
        </w:rPr>
        <w:t>Historical data was till May 21 week 2026</w:t>
      </w:r>
      <w:r w:rsidRPr="00C96794">
        <w:rPr>
          <w:sz w:val="24"/>
          <w:szCs w:val="24"/>
          <w:lang w:val="en-US"/>
        </w:rPr>
        <w:t>).</w:t>
      </w:r>
    </w:p>
    <w:p w14:paraId="5EB1D77D" w14:textId="1BD81B3F" w:rsidR="008138C8" w:rsidRPr="00C96794" w:rsidRDefault="008138C8" w:rsidP="008138C8">
      <w:pPr>
        <w:rPr>
          <w:sz w:val="24"/>
          <w:szCs w:val="24"/>
          <w:lang w:val="en-US"/>
        </w:rPr>
      </w:pPr>
      <w:r w:rsidRPr="00C96794">
        <w:rPr>
          <w:sz w:val="24"/>
          <w:szCs w:val="24"/>
          <w:lang w:val="en-US"/>
        </w:rPr>
        <w:t xml:space="preserve">Historical financial information available up to week of </w:t>
      </w:r>
      <w:r w:rsidRPr="00C96794">
        <w:rPr>
          <w:b/>
          <w:bCs/>
          <w:sz w:val="24"/>
          <w:szCs w:val="24"/>
          <w:lang w:val="en-US"/>
        </w:rPr>
        <w:t>21 June 2026</w:t>
      </w:r>
      <w:r w:rsidRPr="00C96794">
        <w:rPr>
          <w:sz w:val="24"/>
          <w:szCs w:val="24"/>
          <w:lang w:val="en-US"/>
        </w:rPr>
        <w:t xml:space="preserve"> (</w:t>
      </w:r>
      <w:r w:rsidRPr="00C96794">
        <w:rPr>
          <w:i/>
          <w:iCs/>
          <w:sz w:val="24"/>
          <w:szCs w:val="24"/>
          <w:lang w:val="en-US"/>
        </w:rPr>
        <w:t>From Investing.com</w:t>
      </w:r>
      <w:r w:rsidRPr="00C96794">
        <w:rPr>
          <w:sz w:val="24"/>
          <w:szCs w:val="24"/>
          <w:lang w:val="en-US"/>
        </w:rPr>
        <w:t xml:space="preserve">) was used in constructing the valuation model. The corresponding market price on </w:t>
      </w:r>
      <w:r w:rsidRPr="00C96794">
        <w:rPr>
          <w:b/>
          <w:bCs/>
          <w:sz w:val="24"/>
          <w:szCs w:val="24"/>
          <w:lang w:val="en-US"/>
        </w:rPr>
        <w:t>21 June week 2026</w:t>
      </w:r>
      <w:r w:rsidRPr="00C96794">
        <w:rPr>
          <w:sz w:val="24"/>
          <w:szCs w:val="24"/>
          <w:lang w:val="en-US"/>
        </w:rPr>
        <w:t xml:space="preserve"> was </w:t>
      </w:r>
      <w:r w:rsidRPr="00C96794">
        <w:rPr>
          <w:b/>
          <w:bCs/>
          <w:sz w:val="24"/>
          <w:szCs w:val="24"/>
          <w:lang w:val="en-US"/>
        </w:rPr>
        <w:t>$269.76</w:t>
      </w:r>
      <w:r w:rsidRPr="00C96794">
        <w:rPr>
          <w:sz w:val="24"/>
          <w:szCs w:val="24"/>
          <w:lang w:val="en-US"/>
        </w:rPr>
        <w:t xml:space="preserve"> per share, 22 June end day price was 270.1. Since the market </w:t>
      </w:r>
      <w:r w:rsidRPr="00C96794">
        <w:rPr>
          <w:sz w:val="24"/>
          <w:szCs w:val="24"/>
          <w:lang w:val="en-US"/>
        </w:rPr>
        <w:lastRenderedPageBreak/>
        <w:t xml:space="preserve">price exceeds </w:t>
      </w:r>
      <w:proofErr w:type="gramStart"/>
      <w:r w:rsidR="00010EEC" w:rsidRPr="00C96794">
        <w:rPr>
          <w:sz w:val="24"/>
          <w:szCs w:val="24"/>
          <w:lang w:val="en-US"/>
        </w:rPr>
        <w:t>the our</w:t>
      </w:r>
      <w:proofErr w:type="gramEnd"/>
      <w:r w:rsidRPr="00C96794">
        <w:rPr>
          <w:sz w:val="24"/>
          <w:szCs w:val="24"/>
          <w:lang w:val="en-US"/>
        </w:rPr>
        <w:t xml:space="preserve"> estimated fair value </w:t>
      </w:r>
      <w:r w:rsidR="00927D1A">
        <w:rPr>
          <w:sz w:val="24"/>
          <w:szCs w:val="24"/>
          <w:lang w:val="en-US"/>
        </w:rPr>
        <w:t xml:space="preserve">by approximately 2-3 $, </w:t>
      </w:r>
      <w:r w:rsidRPr="00C96794">
        <w:rPr>
          <w:sz w:val="24"/>
          <w:szCs w:val="24"/>
          <w:lang w:val="en-US"/>
        </w:rPr>
        <w:t xml:space="preserve">the stock appears to be </w:t>
      </w:r>
      <w:r w:rsidRPr="00C96794">
        <w:rPr>
          <w:b/>
          <w:bCs/>
          <w:sz w:val="24"/>
          <w:szCs w:val="24"/>
          <w:lang w:val="en-US"/>
        </w:rPr>
        <w:t>slightly overvalued</w:t>
      </w:r>
      <w:r w:rsidRPr="00C96794">
        <w:rPr>
          <w:sz w:val="24"/>
          <w:szCs w:val="24"/>
          <w:lang w:val="en-US"/>
        </w:rPr>
        <w:t xml:space="preserve"> at the valuation date. Consequently, based on our valuation, we would not recommend purchasing the stock at the observed market price given the 2% growth of US economy in long run</w:t>
      </w:r>
      <w:r w:rsidR="00010EEC" w:rsidRPr="00C96794">
        <w:rPr>
          <w:sz w:val="24"/>
          <w:szCs w:val="24"/>
          <w:lang w:val="en-US"/>
        </w:rPr>
        <w:t xml:space="preserve"> (</w:t>
      </w:r>
      <w:r w:rsidR="00010EEC" w:rsidRPr="00C96794">
        <w:rPr>
          <w:i/>
          <w:iCs/>
          <w:sz w:val="24"/>
          <w:szCs w:val="24"/>
          <w:lang w:val="en-US"/>
        </w:rPr>
        <w:t>However, it depends on how certain we are about US economic growth percentage, and that’s why we have sensitivity analysis below</w:t>
      </w:r>
      <w:r w:rsidR="00010EEC" w:rsidRPr="00C96794">
        <w:rPr>
          <w:sz w:val="24"/>
          <w:szCs w:val="24"/>
          <w:lang w:val="en-US"/>
        </w:rPr>
        <w:t>)</w:t>
      </w:r>
      <w:r w:rsidRPr="00C96794">
        <w:rPr>
          <w:sz w:val="24"/>
          <w:szCs w:val="24"/>
          <w:lang w:val="en-US"/>
        </w:rPr>
        <w:t>.</w:t>
      </w:r>
    </w:p>
    <w:p w14:paraId="67A4C1A1" w14:textId="525B9922" w:rsidR="008138C8" w:rsidRPr="00C96794" w:rsidRDefault="008138C8" w:rsidP="008138C8">
      <w:pPr>
        <w:rPr>
          <w:b/>
          <w:bCs/>
          <w:sz w:val="24"/>
          <w:szCs w:val="24"/>
          <w:lang w:val="en-US"/>
        </w:rPr>
      </w:pPr>
      <w:r w:rsidRPr="00C96794">
        <w:rPr>
          <w:b/>
          <w:bCs/>
          <w:sz w:val="24"/>
          <w:szCs w:val="24"/>
          <w:lang w:val="en-US"/>
        </w:rPr>
        <w:t>Sensitivity Analysis</w:t>
      </w:r>
      <w:r w:rsidR="00C96794" w:rsidRPr="00C96794">
        <w:rPr>
          <w:b/>
          <w:bCs/>
          <w:sz w:val="24"/>
          <w:szCs w:val="24"/>
          <w:lang w:val="en-US"/>
        </w:rPr>
        <w:t>:</w:t>
      </w:r>
    </w:p>
    <w:p w14:paraId="2B5D7789" w14:textId="1F0E9E59" w:rsidR="008138C8" w:rsidRPr="00C96794" w:rsidRDefault="004C0989" w:rsidP="008138C8">
      <w:pPr>
        <w:rPr>
          <w:sz w:val="24"/>
          <w:szCs w:val="24"/>
          <w:lang w:val="en-US"/>
        </w:rPr>
      </w:pPr>
      <w:r w:rsidRPr="004C0989">
        <w:rPr>
          <w:sz w:val="24"/>
          <w:szCs w:val="24"/>
          <w:lang w:val="en-US"/>
        </w:rPr>
        <w:drawing>
          <wp:anchor distT="0" distB="0" distL="114300" distR="114300" simplePos="0" relativeHeight="251658240" behindDoc="0" locked="0" layoutInCell="1" allowOverlap="1" wp14:anchorId="3C87A840" wp14:editId="21D1FFB2">
            <wp:simplePos x="0" y="0"/>
            <wp:positionH relativeFrom="column">
              <wp:posOffset>1905</wp:posOffset>
            </wp:positionH>
            <wp:positionV relativeFrom="paragraph">
              <wp:posOffset>1067435</wp:posOffset>
            </wp:positionV>
            <wp:extent cx="4579620" cy="1333500"/>
            <wp:effectExtent l="0" t="0" r="0" b="0"/>
            <wp:wrapThrough wrapText="bothSides">
              <wp:wrapPolygon edited="0">
                <wp:start x="0" y="0"/>
                <wp:lineTo x="0" y="21291"/>
                <wp:lineTo x="21474" y="21291"/>
                <wp:lineTo x="21474" y="0"/>
                <wp:lineTo x="0" y="0"/>
              </wp:wrapPolygon>
            </wp:wrapThrough>
            <wp:docPr id="188598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89219" name=""/>
                    <pic:cNvPicPr/>
                  </pic:nvPicPr>
                  <pic:blipFill>
                    <a:blip r:embed="rId13">
                      <a:extLst>
                        <a:ext uri="{28A0092B-C50C-407E-A947-70E740481C1C}">
                          <a14:useLocalDpi xmlns:a14="http://schemas.microsoft.com/office/drawing/2010/main" val="0"/>
                        </a:ext>
                      </a:extLst>
                    </a:blip>
                    <a:stretch>
                      <a:fillRect/>
                    </a:stretch>
                  </pic:blipFill>
                  <pic:spPr>
                    <a:xfrm>
                      <a:off x="0" y="0"/>
                      <a:ext cx="4579620" cy="1333500"/>
                    </a:xfrm>
                    <a:prstGeom prst="rect">
                      <a:avLst/>
                    </a:prstGeom>
                  </pic:spPr>
                </pic:pic>
              </a:graphicData>
            </a:graphic>
            <wp14:sizeRelH relativeFrom="margin">
              <wp14:pctWidth>0</wp14:pctWidth>
            </wp14:sizeRelH>
            <wp14:sizeRelV relativeFrom="margin">
              <wp14:pctHeight>0</wp14:pctHeight>
            </wp14:sizeRelV>
          </wp:anchor>
        </w:drawing>
      </w:r>
      <w:r w:rsidR="008138C8" w:rsidRPr="00C96794">
        <w:rPr>
          <w:sz w:val="24"/>
          <w:szCs w:val="24"/>
          <w:lang w:val="en-US"/>
        </w:rPr>
        <w:t xml:space="preserve">Of course, we understand that the DCF model is highly dependent on its assumptions, a sensitivity analysis was conducted by varying both the </w:t>
      </w:r>
      <w:r w:rsidR="008138C8" w:rsidRPr="00C96794">
        <w:rPr>
          <w:b/>
          <w:bCs/>
          <w:sz w:val="24"/>
          <w:szCs w:val="24"/>
          <w:lang w:val="en-US"/>
        </w:rPr>
        <w:t>Weighted Average Cost of Capital (WACC)</w:t>
      </w:r>
      <w:r w:rsidR="008138C8" w:rsidRPr="00C96794">
        <w:rPr>
          <w:sz w:val="24"/>
          <w:szCs w:val="24"/>
          <w:lang w:val="en-US"/>
        </w:rPr>
        <w:t xml:space="preserve"> and the </w:t>
      </w:r>
      <w:r w:rsidR="008138C8" w:rsidRPr="00C96794">
        <w:rPr>
          <w:b/>
          <w:bCs/>
          <w:sz w:val="24"/>
          <w:szCs w:val="24"/>
          <w:lang w:val="en-US"/>
        </w:rPr>
        <w:t>long-run FCFF growth rate</w:t>
      </w:r>
      <w:r w:rsidR="008138C8" w:rsidRPr="00C96794">
        <w:rPr>
          <w:sz w:val="24"/>
          <w:szCs w:val="24"/>
          <w:lang w:val="en-US"/>
        </w:rPr>
        <w:t xml:space="preserve">. The analysis confirms that these two assumptions have a substantial impact on the estimated share price. Lower discount rates combined with higher perpetual growth assumptions produce significantly higher valuations, whereas higher WACC values and lower growth rates reduce the estimated intrinsic value considerably. </w:t>
      </w:r>
    </w:p>
    <w:p w14:paraId="36A53AEB" w14:textId="72A20743" w:rsidR="008138C8" w:rsidRPr="00C96794" w:rsidRDefault="00EB60BC" w:rsidP="008138C8">
      <w:pPr>
        <w:rPr>
          <w:sz w:val="24"/>
          <w:szCs w:val="24"/>
          <w:lang w:val="en-US"/>
        </w:rPr>
      </w:pPr>
      <w:r w:rsidRPr="00C96794">
        <w:rPr>
          <w:sz w:val="24"/>
          <w:szCs w:val="24"/>
          <w:lang w:val="en-US"/>
        </w:rPr>
        <w:t>As you can see</w:t>
      </w:r>
      <w:r w:rsidR="006414ED">
        <w:rPr>
          <w:sz w:val="24"/>
          <w:szCs w:val="24"/>
          <w:lang w:val="en-US"/>
        </w:rPr>
        <w:t xml:space="preserve"> above</w:t>
      </w:r>
      <w:r w:rsidRPr="00C96794">
        <w:rPr>
          <w:sz w:val="24"/>
          <w:szCs w:val="24"/>
          <w:lang w:val="en-US"/>
        </w:rPr>
        <w:t>, w</w:t>
      </w:r>
      <w:r w:rsidR="008138C8" w:rsidRPr="00C96794">
        <w:rPr>
          <w:sz w:val="24"/>
          <w:szCs w:val="24"/>
          <w:lang w:val="en-US"/>
        </w:rPr>
        <w:t xml:space="preserve">e have </w:t>
      </w:r>
      <w:r w:rsidRPr="00C96794">
        <w:rPr>
          <w:sz w:val="24"/>
          <w:szCs w:val="24"/>
          <w:lang w:val="en-US"/>
        </w:rPr>
        <w:t xml:space="preserve">quite </w:t>
      </w:r>
      <w:r w:rsidR="008138C8" w:rsidRPr="00C96794">
        <w:rPr>
          <w:b/>
          <w:bCs/>
          <w:sz w:val="24"/>
          <w:szCs w:val="24"/>
          <w:lang w:val="en-US"/>
        </w:rPr>
        <w:t xml:space="preserve">interesting </w:t>
      </w:r>
      <w:r w:rsidR="008138C8" w:rsidRPr="00C96794">
        <w:rPr>
          <w:sz w:val="24"/>
          <w:szCs w:val="24"/>
          <w:lang w:val="en-US"/>
        </w:rPr>
        <w:t xml:space="preserve">inputs in the Sensitivity table, if WACC is </w:t>
      </w:r>
      <w:r w:rsidRPr="00C96794">
        <w:rPr>
          <w:sz w:val="24"/>
          <w:szCs w:val="24"/>
          <w:lang w:val="en-US"/>
        </w:rPr>
        <w:t>same,</w:t>
      </w:r>
      <w:r w:rsidR="008138C8" w:rsidRPr="00C96794">
        <w:rPr>
          <w:sz w:val="24"/>
          <w:szCs w:val="24"/>
          <w:lang w:val="en-US"/>
        </w:rPr>
        <w:t xml:space="preserve"> if you look down the central column given that US economy growth at 2.2 which also could be realistic stock price would be </w:t>
      </w:r>
      <w:r w:rsidRPr="00C96794">
        <w:rPr>
          <w:sz w:val="24"/>
          <w:szCs w:val="24"/>
          <w:lang w:val="en-US"/>
        </w:rPr>
        <w:t>283, if it’s higher than 300, 320 and so on. So, if those cases were more probable then we could think that on 21 June week of 2026 McDonald’s stock was undervalued and if we are sure about better economic growth in USA then we would most likely buy that stock.</w:t>
      </w:r>
    </w:p>
    <w:p w14:paraId="36815D48" w14:textId="17FCF1D5" w:rsidR="00EB60BC" w:rsidRPr="00C96794" w:rsidRDefault="00EB60BC" w:rsidP="008138C8">
      <w:pPr>
        <w:rPr>
          <w:sz w:val="24"/>
          <w:szCs w:val="24"/>
          <w:lang w:val="en-US"/>
        </w:rPr>
      </w:pPr>
      <w:r w:rsidRPr="00C96794">
        <w:rPr>
          <w:sz w:val="24"/>
          <w:szCs w:val="24"/>
          <w:lang w:val="en-US"/>
        </w:rPr>
        <w:t xml:space="preserve">In the end our valuation was </w:t>
      </w:r>
      <w:r w:rsidRPr="00C96794">
        <w:rPr>
          <w:b/>
          <w:bCs/>
          <w:sz w:val="24"/>
          <w:szCs w:val="24"/>
          <w:lang w:val="en-US"/>
        </w:rPr>
        <w:t xml:space="preserve">close to </w:t>
      </w:r>
      <w:r w:rsidR="00DE6677" w:rsidRPr="00C96794">
        <w:rPr>
          <w:b/>
          <w:bCs/>
          <w:sz w:val="24"/>
          <w:szCs w:val="24"/>
          <w:lang w:val="en-US"/>
        </w:rPr>
        <w:t>reality</w:t>
      </w:r>
      <w:r w:rsidR="00DE6677" w:rsidRPr="00C96794">
        <w:rPr>
          <w:sz w:val="24"/>
          <w:szCs w:val="24"/>
          <w:lang w:val="en-US"/>
        </w:rPr>
        <w:t>, especially</w:t>
      </w:r>
      <w:r w:rsidR="00737A1B">
        <w:rPr>
          <w:sz w:val="24"/>
          <w:szCs w:val="24"/>
          <w:lang w:val="en-US"/>
        </w:rPr>
        <w:t xml:space="preserve">, </w:t>
      </w:r>
      <w:r w:rsidR="00927D1A">
        <w:rPr>
          <w:sz w:val="24"/>
          <w:szCs w:val="24"/>
          <w:lang w:val="en-US"/>
        </w:rPr>
        <w:t xml:space="preserve">in terms of fair </w:t>
      </w:r>
      <w:r w:rsidRPr="00C96794">
        <w:rPr>
          <w:sz w:val="24"/>
          <w:szCs w:val="24"/>
          <w:lang w:val="en-US"/>
        </w:rPr>
        <w:t>stock value, which was based on our logical forecasting reasoning and realistic US long run growth chosen.</w:t>
      </w:r>
    </w:p>
    <w:p w14:paraId="4BEB904A" w14:textId="77777777" w:rsidR="002B17E6" w:rsidRPr="00D827C5" w:rsidRDefault="002B17E6">
      <w:pPr>
        <w:rPr>
          <w:lang w:val="en-US"/>
        </w:rPr>
      </w:pPr>
    </w:p>
    <w:sectPr w:rsidR="002B17E6" w:rsidRPr="00D827C5">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75EA7"/>
    <w:multiLevelType w:val="hybridMultilevel"/>
    <w:tmpl w:val="03CCF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B3E36"/>
    <w:multiLevelType w:val="hybridMultilevel"/>
    <w:tmpl w:val="C0109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98500F"/>
    <w:multiLevelType w:val="hybridMultilevel"/>
    <w:tmpl w:val="2E62BB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224560814">
    <w:abstractNumId w:val="2"/>
  </w:num>
  <w:num w:numId="2" w16cid:durableId="1369992962">
    <w:abstractNumId w:val="0"/>
  </w:num>
  <w:num w:numId="3" w16cid:durableId="893928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231"/>
    <w:rsid w:val="00010EEC"/>
    <w:rsid w:val="00025847"/>
    <w:rsid w:val="000E4231"/>
    <w:rsid w:val="00141C9F"/>
    <w:rsid w:val="002B17E6"/>
    <w:rsid w:val="003D459E"/>
    <w:rsid w:val="00490DCB"/>
    <w:rsid w:val="004C0989"/>
    <w:rsid w:val="00527D99"/>
    <w:rsid w:val="006414ED"/>
    <w:rsid w:val="00737A1B"/>
    <w:rsid w:val="007535DA"/>
    <w:rsid w:val="00775DD7"/>
    <w:rsid w:val="008138C8"/>
    <w:rsid w:val="0083178B"/>
    <w:rsid w:val="00875C55"/>
    <w:rsid w:val="00892407"/>
    <w:rsid w:val="00927D1A"/>
    <w:rsid w:val="009467FD"/>
    <w:rsid w:val="00A04C15"/>
    <w:rsid w:val="00AC3AA6"/>
    <w:rsid w:val="00AD4BBB"/>
    <w:rsid w:val="00B4080F"/>
    <w:rsid w:val="00B57B90"/>
    <w:rsid w:val="00BA0320"/>
    <w:rsid w:val="00BC4E46"/>
    <w:rsid w:val="00BD7371"/>
    <w:rsid w:val="00C96794"/>
    <w:rsid w:val="00D827C5"/>
    <w:rsid w:val="00DE6677"/>
    <w:rsid w:val="00E12B3B"/>
    <w:rsid w:val="00EB60BC"/>
    <w:rsid w:val="00F809C5"/>
    <w:rsid w:val="00FE0033"/>
    <w:rsid w:val="00FE70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3278"/>
  <w15:chartTrackingRefBased/>
  <w15:docId w15:val="{543934B3-2453-4C65-9A21-B793C7553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231"/>
    <w:rPr>
      <w:rFonts w:eastAsiaTheme="majorEastAsia" w:cstheme="majorBidi"/>
      <w:color w:val="272727" w:themeColor="text1" w:themeTint="D8"/>
    </w:rPr>
  </w:style>
  <w:style w:type="paragraph" w:styleId="Title">
    <w:name w:val="Title"/>
    <w:basedOn w:val="Normal"/>
    <w:next w:val="Normal"/>
    <w:link w:val="TitleChar"/>
    <w:uiPriority w:val="10"/>
    <w:qFormat/>
    <w:rsid w:val="000E4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231"/>
    <w:pPr>
      <w:spacing w:before="160"/>
      <w:jc w:val="center"/>
    </w:pPr>
    <w:rPr>
      <w:i/>
      <w:iCs/>
      <w:color w:val="404040" w:themeColor="text1" w:themeTint="BF"/>
    </w:rPr>
  </w:style>
  <w:style w:type="character" w:customStyle="1" w:styleId="QuoteChar">
    <w:name w:val="Quote Char"/>
    <w:basedOn w:val="DefaultParagraphFont"/>
    <w:link w:val="Quote"/>
    <w:uiPriority w:val="29"/>
    <w:rsid w:val="000E4231"/>
    <w:rPr>
      <w:i/>
      <w:iCs/>
      <w:color w:val="404040" w:themeColor="text1" w:themeTint="BF"/>
    </w:rPr>
  </w:style>
  <w:style w:type="paragraph" w:styleId="ListParagraph">
    <w:name w:val="List Paragraph"/>
    <w:basedOn w:val="Normal"/>
    <w:uiPriority w:val="34"/>
    <w:qFormat/>
    <w:rsid w:val="000E4231"/>
    <w:pPr>
      <w:ind w:left="720"/>
      <w:contextualSpacing/>
    </w:pPr>
  </w:style>
  <w:style w:type="character" w:styleId="IntenseEmphasis">
    <w:name w:val="Intense Emphasis"/>
    <w:basedOn w:val="DefaultParagraphFont"/>
    <w:uiPriority w:val="21"/>
    <w:qFormat/>
    <w:rsid w:val="000E4231"/>
    <w:rPr>
      <w:i/>
      <w:iCs/>
      <w:color w:val="0F4761" w:themeColor="accent1" w:themeShade="BF"/>
    </w:rPr>
  </w:style>
  <w:style w:type="paragraph" w:styleId="IntenseQuote">
    <w:name w:val="Intense Quote"/>
    <w:basedOn w:val="Normal"/>
    <w:next w:val="Normal"/>
    <w:link w:val="IntenseQuoteChar"/>
    <w:uiPriority w:val="30"/>
    <w:qFormat/>
    <w:rsid w:val="000E4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231"/>
    <w:rPr>
      <w:i/>
      <w:iCs/>
      <w:color w:val="0F4761" w:themeColor="accent1" w:themeShade="BF"/>
    </w:rPr>
  </w:style>
  <w:style w:type="character" w:styleId="IntenseReference">
    <w:name w:val="Intense Reference"/>
    <w:basedOn w:val="DefaultParagraphFont"/>
    <w:uiPriority w:val="32"/>
    <w:qFormat/>
    <w:rsid w:val="000E4231"/>
    <w:rPr>
      <w:b/>
      <w:bCs/>
      <w:smallCaps/>
      <w:color w:val="0F4761" w:themeColor="accent1" w:themeShade="BF"/>
      <w:spacing w:val="5"/>
    </w:rPr>
  </w:style>
  <w:style w:type="character" w:styleId="Hyperlink">
    <w:name w:val="Hyperlink"/>
    <w:basedOn w:val="DefaultParagraphFont"/>
    <w:uiPriority w:val="99"/>
    <w:unhideWhenUsed/>
    <w:rsid w:val="00A04C15"/>
    <w:rPr>
      <w:color w:val="0563C1"/>
      <w:u w:val="single"/>
    </w:rPr>
  </w:style>
  <w:style w:type="character" w:styleId="UnresolvedMention">
    <w:name w:val="Unresolved Mention"/>
    <w:basedOn w:val="DefaultParagraphFont"/>
    <w:uiPriority w:val="99"/>
    <w:semiHidden/>
    <w:unhideWhenUsed/>
    <w:rsid w:val="00BC4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635391">
      <w:bodyDiv w:val="1"/>
      <w:marLeft w:val="0"/>
      <w:marRight w:val="0"/>
      <w:marTop w:val="0"/>
      <w:marBottom w:val="0"/>
      <w:divBdr>
        <w:top w:val="none" w:sz="0" w:space="0" w:color="auto"/>
        <w:left w:val="none" w:sz="0" w:space="0" w:color="auto"/>
        <w:bottom w:val="none" w:sz="0" w:space="0" w:color="auto"/>
        <w:right w:val="none" w:sz="0" w:space="0" w:color="auto"/>
      </w:divBdr>
    </w:div>
    <w:div w:id="314728818">
      <w:bodyDiv w:val="1"/>
      <w:marLeft w:val="0"/>
      <w:marRight w:val="0"/>
      <w:marTop w:val="0"/>
      <w:marBottom w:val="0"/>
      <w:divBdr>
        <w:top w:val="none" w:sz="0" w:space="0" w:color="auto"/>
        <w:left w:val="none" w:sz="0" w:space="0" w:color="auto"/>
        <w:bottom w:val="none" w:sz="0" w:space="0" w:color="auto"/>
        <w:right w:val="none" w:sz="0" w:space="0" w:color="auto"/>
      </w:divBdr>
    </w:div>
    <w:div w:id="347561006">
      <w:bodyDiv w:val="1"/>
      <w:marLeft w:val="0"/>
      <w:marRight w:val="0"/>
      <w:marTop w:val="0"/>
      <w:marBottom w:val="0"/>
      <w:divBdr>
        <w:top w:val="none" w:sz="0" w:space="0" w:color="auto"/>
        <w:left w:val="none" w:sz="0" w:space="0" w:color="auto"/>
        <w:bottom w:val="none" w:sz="0" w:space="0" w:color="auto"/>
        <w:right w:val="none" w:sz="0" w:space="0" w:color="auto"/>
      </w:divBdr>
    </w:div>
    <w:div w:id="438960160">
      <w:bodyDiv w:val="1"/>
      <w:marLeft w:val="0"/>
      <w:marRight w:val="0"/>
      <w:marTop w:val="0"/>
      <w:marBottom w:val="0"/>
      <w:divBdr>
        <w:top w:val="none" w:sz="0" w:space="0" w:color="auto"/>
        <w:left w:val="none" w:sz="0" w:space="0" w:color="auto"/>
        <w:bottom w:val="none" w:sz="0" w:space="0" w:color="auto"/>
        <w:right w:val="none" w:sz="0" w:space="0" w:color="auto"/>
      </w:divBdr>
    </w:div>
    <w:div w:id="486241252">
      <w:bodyDiv w:val="1"/>
      <w:marLeft w:val="0"/>
      <w:marRight w:val="0"/>
      <w:marTop w:val="0"/>
      <w:marBottom w:val="0"/>
      <w:divBdr>
        <w:top w:val="none" w:sz="0" w:space="0" w:color="auto"/>
        <w:left w:val="none" w:sz="0" w:space="0" w:color="auto"/>
        <w:bottom w:val="none" w:sz="0" w:space="0" w:color="auto"/>
        <w:right w:val="none" w:sz="0" w:space="0" w:color="auto"/>
      </w:divBdr>
    </w:div>
    <w:div w:id="512384440">
      <w:bodyDiv w:val="1"/>
      <w:marLeft w:val="0"/>
      <w:marRight w:val="0"/>
      <w:marTop w:val="0"/>
      <w:marBottom w:val="0"/>
      <w:divBdr>
        <w:top w:val="none" w:sz="0" w:space="0" w:color="auto"/>
        <w:left w:val="none" w:sz="0" w:space="0" w:color="auto"/>
        <w:bottom w:val="none" w:sz="0" w:space="0" w:color="auto"/>
        <w:right w:val="none" w:sz="0" w:space="0" w:color="auto"/>
      </w:divBdr>
    </w:div>
    <w:div w:id="530924679">
      <w:bodyDiv w:val="1"/>
      <w:marLeft w:val="0"/>
      <w:marRight w:val="0"/>
      <w:marTop w:val="0"/>
      <w:marBottom w:val="0"/>
      <w:divBdr>
        <w:top w:val="none" w:sz="0" w:space="0" w:color="auto"/>
        <w:left w:val="none" w:sz="0" w:space="0" w:color="auto"/>
        <w:bottom w:val="none" w:sz="0" w:space="0" w:color="auto"/>
        <w:right w:val="none" w:sz="0" w:space="0" w:color="auto"/>
      </w:divBdr>
    </w:div>
    <w:div w:id="640306407">
      <w:bodyDiv w:val="1"/>
      <w:marLeft w:val="0"/>
      <w:marRight w:val="0"/>
      <w:marTop w:val="0"/>
      <w:marBottom w:val="0"/>
      <w:divBdr>
        <w:top w:val="none" w:sz="0" w:space="0" w:color="auto"/>
        <w:left w:val="none" w:sz="0" w:space="0" w:color="auto"/>
        <w:bottom w:val="none" w:sz="0" w:space="0" w:color="auto"/>
        <w:right w:val="none" w:sz="0" w:space="0" w:color="auto"/>
      </w:divBdr>
    </w:div>
    <w:div w:id="797187995">
      <w:bodyDiv w:val="1"/>
      <w:marLeft w:val="0"/>
      <w:marRight w:val="0"/>
      <w:marTop w:val="0"/>
      <w:marBottom w:val="0"/>
      <w:divBdr>
        <w:top w:val="none" w:sz="0" w:space="0" w:color="auto"/>
        <w:left w:val="none" w:sz="0" w:space="0" w:color="auto"/>
        <w:bottom w:val="none" w:sz="0" w:space="0" w:color="auto"/>
        <w:right w:val="none" w:sz="0" w:space="0" w:color="auto"/>
      </w:divBdr>
    </w:div>
    <w:div w:id="874928244">
      <w:bodyDiv w:val="1"/>
      <w:marLeft w:val="0"/>
      <w:marRight w:val="0"/>
      <w:marTop w:val="0"/>
      <w:marBottom w:val="0"/>
      <w:divBdr>
        <w:top w:val="none" w:sz="0" w:space="0" w:color="auto"/>
        <w:left w:val="none" w:sz="0" w:space="0" w:color="auto"/>
        <w:bottom w:val="none" w:sz="0" w:space="0" w:color="auto"/>
        <w:right w:val="none" w:sz="0" w:space="0" w:color="auto"/>
      </w:divBdr>
      <w:divsChild>
        <w:div w:id="737900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642022">
      <w:bodyDiv w:val="1"/>
      <w:marLeft w:val="0"/>
      <w:marRight w:val="0"/>
      <w:marTop w:val="0"/>
      <w:marBottom w:val="0"/>
      <w:divBdr>
        <w:top w:val="none" w:sz="0" w:space="0" w:color="auto"/>
        <w:left w:val="none" w:sz="0" w:space="0" w:color="auto"/>
        <w:bottom w:val="none" w:sz="0" w:space="0" w:color="auto"/>
        <w:right w:val="none" w:sz="0" w:space="0" w:color="auto"/>
      </w:divBdr>
    </w:div>
    <w:div w:id="929704820">
      <w:bodyDiv w:val="1"/>
      <w:marLeft w:val="0"/>
      <w:marRight w:val="0"/>
      <w:marTop w:val="0"/>
      <w:marBottom w:val="0"/>
      <w:divBdr>
        <w:top w:val="none" w:sz="0" w:space="0" w:color="auto"/>
        <w:left w:val="none" w:sz="0" w:space="0" w:color="auto"/>
        <w:bottom w:val="none" w:sz="0" w:space="0" w:color="auto"/>
        <w:right w:val="none" w:sz="0" w:space="0" w:color="auto"/>
      </w:divBdr>
    </w:div>
    <w:div w:id="1090928712">
      <w:bodyDiv w:val="1"/>
      <w:marLeft w:val="0"/>
      <w:marRight w:val="0"/>
      <w:marTop w:val="0"/>
      <w:marBottom w:val="0"/>
      <w:divBdr>
        <w:top w:val="none" w:sz="0" w:space="0" w:color="auto"/>
        <w:left w:val="none" w:sz="0" w:space="0" w:color="auto"/>
        <w:bottom w:val="none" w:sz="0" w:space="0" w:color="auto"/>
        <w:right w:val="none" w:sz="0" w:space="0" w:color="auto"/>
      </w:divBdr>
    </w:div>
    <w:div w:id="1100370089">
      <w:bodyDiv w:val="1"/>
      <w:marLeft w:val="0"/>
      <w:marRight w:val="0"/>
      <w:marTop w:val="0"/>
      <w:marBottom w:val="0"/>
      <w:divBdr>
        <w:top w:val="none" w:sz="0" w:space="0" w:color="auto"/>
        <w:left w:val="none" w:sz="0" w:space="0" w:color="auto"/>
        <w:bottom w:val="none" w:sz="0" w:space="0" w:color="auto"/>
        <w:right w:val="none" w:sz="0" w:space="0" w:color="auto"/>
      </w:divBdr>
    </w:div>
    <w:div w:id="1241134230">
      <w:bodyDiv w:val="1"/>
      <w:marLeft w:val="0"/>
      <w:marRight w:val="0"/>
      <w:marTop w:val="0"/>
      <w:marBottom w:val="0"/>
      <w:divBdr>
        <w:top w:val="none" w:sz="0" w:space="0" w:color="auto"/>
        <w:left w:val="none" w:sz="0" w:space="0" w:color="auto"/>
        <w:bottom w:val="none" w:sz="0" w:space="0" w:color="auto"/>
        <w:right w:val="none" w:sz="0" w:space="0" w:color="auto"/>
      </w:divBdr>
    </w:div>
    <w:div w:id="1419212856">
      <w:bodyDiv w:val="1"/>
      <w:marLeft w:val="0"/>
      <w:marRight w:val="0"/>
      <w:marTop w:val="0"/>
      <w:marBottom w:val="0"/>
      <w:divBdr>
        <w:top w:val="none" w:sz="0" w:space="0" w:color="auto"/>
        <w:left w:val="none" w:sz="0" w:space="0" w:color="auto"/>
        <w:bottom w:val="none" w:sz="0" w:space="0" w:color="auto"/>
        <w:right w:val="none" w:sz="0" w:space="0" w:color="auto"/>
      </w:divBdr>
      <w:divsChild>
        <w:div w:id="103157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433498">
      <w:bodyDiv w:val="1"/>
      <w:marLeft w:val="0"/>
      <w:marRight w:val="0"/>
      <w:marTop w:val="0"/>
      <w:marBottom w:val="0"/>
      <w:divBdr>
        <w:top w:val="none" w:sz="0" w:space="0" w:color="auto"/>
        <w:left w:val="none" w:sz="0" w:space="0" w:color="auto"/>
        <w:bottom w:val="none" w:sz="0" w:space="0" w:color="auto"/>
        <w:right w:val="none" w:sz="0" w:space="0" w:color="auto"/>
      </w:divBdr>
    </w:div>
    <w:div w:id="1642071940">
      <w:bodyDiv w:val="1"/>
      <w:marLeft w:val="0"/>
      <w:marRight w:val="0"/>
      <w:marTop w:val="0"/>
      <w:marBottom w:val="0"/>
      <w:divBdr>
        <w:top w:val="none" w:sz="0" w:space="0" w:color="auto"/>
        <w:left w:val="none" w:sz="0" w:space="0" w:color="auto"/>
        <w:bottom w:val="none" w:sz="0" w:space="0" w:color="auto"/>
        <w:right w:val="none" w:sz="0" w:space="0" w:color="auto"/>
      </w:divBdr>
    </w:div>
    <w:div w:id="1656837403">
      <w:bodyDiv w:val="1"/>
      <w:marLeft w:val="0"/>
      <w:marRight w:val="0"/>
      <w:marTop w:val="0"/>
      <w:marBottom w:val="0"/>
      <w:divBdr>
        <w:top w:val="none" w:sz="0" w:space="0" w:color="auto"/>
        <w:left w:val="none" w:sz="0" w:space="0" w:color="auto"/>
        <w:bottom w:val="none" w:sz="0" w:space="0" w:color="auto"/>
        <w:right w:val="none" w:sz="0" w:space="0" w:color="auto"/>
      </w:divBdr>
    </w:div>
    <w:div w:id="1693651477">
      <w:bodyDiv w:val="1"/>
      <w:marLeft w:val="0"/>
      <w:marRight w:val="0"/>
      <w:marTop w:val="0"/>
      <w:marBottom w:val="0"/>
      <w:divBdr>
        <w:top w:val="none" w:sz="0" w:space="0" w:color="auto"/>
        <w:left w:val="none" w:sz="0" w:space="0" w:color="auto"/>
        <w:bottom w:val="none" w:sz="0" w:space="0" w:color="auto"/>
        <w:right w:val="none" w:sz="0" w:space="0" w:color="auto"/>
      </w:divBdr>
    </w:div>
    <w:div w:id="1726173603">
      <w:bodyDiv w:val="1"/>
      <w:marLeft w:val="0"/>
      <w:marRight w:val="0"/>
      <w:marTop w:val="0"/>
      <w:marBottom w:val="0"/>
      <w:divBdr>
        <w:top w:val="none" w:sz="0" w:space="0" w:color="auto"/>
        <w:left w:val="none" w:sz="0" w:space="0" w:color="auto"/>
        <w:bottom w:val="none" w:sz="0" w:space="0" w:color="auto"/>
        <w:right w:val="none" w:sz="0" w:space="0" w:color="auto"/>
      </w:divBdr>
    </w:div>
    <w:div w:id="1826511096">
      <w:bodyDiv w:val="1"/>
      <w:marLeft w:val="0"/>
      <w:marRight w:val="0"/>
      <w:marTop w:val="0"/>
      <w:marBottom w:val="0"/>
      <w:divBdr>
        <w:top w:val="none" w:sz="0" w:space="0" w:color="auto"/>
        <w:left w:val="none" w:sz="0" w:space="0" w:color="auto"/>
        <w:bottom w:val="none" w:sz="0" w:space="0" w:color="auto"/>
        <w:right w:val="none" w:sz="0" w:space="0" w:color="auto"/>
      </w:divBdr>
    </w:div>
    <w:div w:id="208464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investing.com/rates-bonds/u.s.-10-year-bond-yield-historical-data" TargetMode="External"/><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arketscreener.com/quote/stock/MCDONALD-S-CORPORATION-4833/" TargetMode="External"/><Relationship Id="rId5" Type="http://schemas.openxmlformats.org/officeDocument/2006/relationships/hyperlink" Target="https://www.tradingview.com/symbols/FINRA-MCD6153327/" TargetMode="External"/><Relationship Id="rId15" Type="http://schemas.openxmlformats.org/officeDocument/2006/relationships/theme" Target="theme/theme1.xml"/><Relationship Id="rId10" Type="http://schemas.openxmlformats.org/officeDocument/2006/relationships/hyperlink" Target="https://www.investing.com/equities/mcdonalds-historical-dat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Finished%20CF-2-Mcdonalds-Final-Projec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scatterChart>
        <c:scatterStyle val="lineMarker"/>
        <c:varyColors val="0"/>
        <c:ser>
          <c:idx val="0"/>
          <c:order val="0"/>
          <c:tx>
            <c:strRef>
              <c:f>'Cost of Equity'!$F$49</c:f>
              <c:strCache>
                <c:ptCount val="1"/>
                <c:pt idx="0">
                  <c:v>returns</c:v>
                </c:pt>
              </c:strCache>
            </c:strRef>
          </c:tx>
          <c:spPr>
            <a:ln w="25400" cap="rnd">
              <a:noFill/>
            </a:ln>
            <a:effectLst>
              <a:glow rad="139700">
                <a:schemeClr val="accent1">
                  <a:satMod val="175000"/>
                  <a:alpha val="14000"/>
                </a:schemeClr>
              </a:glow>
            </a:effectLst>
          </c:spPr>
          <c:marker>
            <c:symbol val="circle"/>
            <c:size val="3"/>
            <c:spPr>
              <a:solidFill>
                <a:schemeClr val="accent1">
                  <a:lumMod val="40000"/>
                  <a:lumOff val="60000"/>
                </a:schemeClr>
              </a:solidFill>
              <a:ln>
                <a:noFill/>
              </a:ln>
              <a:effectLst>
                <a:glow rad="63500">
                  <a:schemeClr val="accent1">
                    <a:satMod val="175000"/>
                    <a:alpha val="25000"/>
                  </a:schemeClr>
                </a:glow>
              </a:effectLst>
            </c:spPr>
          </c:marker>
          <c:trendline>
            <c:spPr>
              <a:ln w="25400" cap="rnd">
                <a:solidFill>
                  <a:schemeClr val="accent1">
                    <a:alpha val="50000"/>
                  </a:schemeClr>
                </a:solidFill>
              </a:ln>
              <a:effectLst/>
            </c:spPr>
            <c:trendlineType val="log"/>
            <c:dispRSqr val="0"/>
            <c:dispEq val="0"/>
          </c:trendline>
          <c:trendline>
            <c:spPr>
              <a:ln w="25400" cap="rnd">
                <a:solidFill>
                  <a:srgbClr val="FF0000">
                    <a:alpha val="50000"/>
                  </a:srgbClr>
                </a:solidFill>
              </a:ln>
              <a:effectLst/>
            </c:spPr>
            <c:trendlineType val="linear"/>
            <c:dispRSqr val="1"/>
            <c:dispEq val="1"/>
            <c:trendlineLbl>
              <c:layout>
                <c:manualLayout>
                  <c:x val="-0.62253542694561081"/>
                  <c:y val="-0.38413759297874328"/>
                </c:manualLayout>
              </c:layout>
              <c:tx>
                <c:rich>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r>
                      <a:rPr lang="en-US" sz="1400" b="1" baseline="0">
                        <a:solidFill>
                          <a:schemeClr val="bg1"/>
                        </a:solidFill>
                      </a:rPr>
                      <a:t>y = 0.5918x + 7E-05</a:t>
                    </a:r>
                    <a:br>
                      <a:rPr lang="en-US" sz="1400" b="1" baseline="0">
                        <a:solidFill>
                          <a:schemeClr val="bg1"/>
                        </a:solidFill>
                      </a:rPr>
                    </a:br>
                    <a:r>
                      <a:rPr lang="en-US" sz="1400" b="1" baseline="0">
                        <a:solidFill>
                          <a:schemeClr val="bg1"/>
                        </a:solidFill>
                      </a:rPr>
                      <a:t>R² = 0.2346</a:t>
                    </a:r>
                    <a:endParaRPr lang="en-US" sz="1400" b="1">
                      <a:solidFill>
                        <a:schemeClr val="bg1"/>
                      </a:solidFill>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trendlineLbl>
          </c:trendline>
          <c:xVal>
            <c:numRef>
              <c:f>'Cost of Equity'!$C$50:$C$330</c:f>
              <c:numCache>
                <c:formatCode>0.000%</c:formatCode>
                <c:ptCount val="281"/>
                <c:pt idx="0">
                  <c:v>8.0639327310561004E-3</c:v>
                </c:pt>
                <c:pt idx="1">
                  <c:v>-4.0727587112959762E-3</c:v>
                </c:pt>
                <c:pt idx="2">
                  <c:v>1.4589469610646555E-2</c:v>
                </c:pt>
                <c:pt idx="3">
                  <c:v>-1.5327019345532378E-3</c:v>
                </c:pt>
                <c:pt idx="4">
                  <c:v>2.8588896830250565E-3</c:v>
                </c:pt>
                <c:pt idx="5">
                  <c:v>1.870224655034769E-2</c:v>
                </c:pt>
                <c:pt idx="6">
                  <c:v>-6.2243376833955866E-3</c:v>
                </c:pt>
                <c:pt idx="7">
                  <c:v>-4.2966512160824699E-3</c:v>
                </c:pt>
                <c:pt idx="8">
                  <c:v>4.6479990930734516E-3</c:v>
                </c:pt>
                <c:pt idx="9">
                  <c:v>-1.1341641628265009E-2</c:v>
                </c:pt>
                <c:pt idx="10">
                  <c:v>2.0374320965932835E-2</c:v>
                </c:pt>
                <c:pt idx="11">
                  <c:v>2.4358044327495332E-2</c:v>
                </c:pt>
                <c:pt idx="12">
                  <c:v>2.5951693054432123E-2</c:v>
                </c:pt>
                <c:pt idx="13">
                  <c:v>7.3091637483968519E-4</c:v>
                </c:pt>
                <c:pt idx="14">
                  <c:v>-1.9690806270945882E-2</c:v>
                </c:pt>
                <c:pt idx="15">
                  <c:v>-2.0747754028980991E-2</c:v>
                </c:pt>
                <c:pt idx="16">
                  <c:v>-4.1554583219831187E-2</c:v>
                </c:pt>
                <c:pt idx="17">
                  <c:v>1.7823183783463037E-3</c:v>
                </c:pt>
                <c:pt idx="18">
                  <c:v>5.423109735446463E-3</c:v>
                </c:pt>
                <c:pt idx="19">
                  <c:v>3.1523085391866879E-3</c:v>
                </c:pt>
                <c:pt idx="20">
                  <c:v>2.348223756893919E-2</c:v>
                </c:pt>
                <c:pt idx="21">
                  <c:v>-1.6654069920728487E-3</c:v>
                </c:pt>
                <c:pt idx="22">
                  <c:v>-2.1879151667681951E-3</c:v>
                </c:pt>
                <c:pt idx="23">
                  <c:v>9.5344750505714781E-3</c:v>
                </c:pt>
                <c:pt idx="24">
                  <c:v>1.609711340391673E-2</c:v>
                </c:pt>
                <c:pt idx="25">
                  <c:v>-5.7536882040398751E-4</c:v>
                </c:pt>
                <c:pt idx="26">
                  <c:v>1.471909651111325E-2</c:v>
                </c:pt>
                <c:pt idx="27">
                  <c:v>-3.6538312966101216E-3</c:v>
                </c:pt>
                <c:pt idx="28">
                  <c:v>8.9041315720699288E-3</c:v>
                </c:pt>
                <c:pt idx="29">
                  <c:v>-6.6896681283146187E-4</c:v>
                </c:pt>
                <c:pt idx="30">
                  <c:v>3.0585068706615592E-2</c:v>
                </c:pt>
                <c:pt idx="31">
                  <c:v>-1.3660731335845333E-2</c:v>
                </c:pt>
                <c:pt idx="32">
                  <c:v>2.8820193753913426E-3</c:v>
                </c:pt>
                <c:pt idx="33">
                  <c:v>-2.3765587429401824E-3</c:v>
                </c:pt>
                <c:pt idx="34">
                  <c:v>-1.099174582106266E-2</c:v>
                </c:pt>
                <c:pt idx="35">
                  <c:v>1.339006323734071E-2</c:v>
                </c:pt>
                <c:pt idx="36">
                  <c:v>1.4907403457379953E-2</c:v>
                </c:pt>
                <c:pt idx="37">
                  <c:v>-2.8929271728023398E-2</c:v>
                </c:pt>
                <c:pt idx="38">
                  <c:v>1.1542311721569165E-2</c:v>
                </c:pt>
                <c:pt idx="39">
                  <c:v>-7.6765609007167779E-4</c:v>
                </c:pt>
                <c:pt idx="40">
                  <c:v>5.6001833978189808E-3</c:v>
                </c:pt>
                <c:pt idx="41">
                  <c:v>1.1274602573807746E-2</c:v>
                </c:pt>
                <c:pt idx="42">
                  <c:v>-7.3280854785717775E-4</c:v>
                </c:pt>
                <c:pt idx="43">
                  <c:v>6.6193540456227495E-5</c:v>
                </c:pt>
                <c:pt idx="44">
                  <c:v>1.6699755320222831E-2</c:v>
                </c:pt>
                <c:pt idx="45">
                  <c:v>1.356934740452731E-2</c:v>
                </c:pt>
                <c:pt idx="46">
                  <c:v>1.2655604730679837E-2</c:v>
                </c:pt>
                <c:pt idx="47">
                  <c:v>-3.25864899954178E-2</c:v>
                </c:pt>
                <c:pt idx="48">
                  <c:v>1.9901078786462634E-2</c:v>
                </c:pt>
                <c:pt idx="49">
                  <c:v>-2.9687020931790098E-4</c:v>
                </c:pt>
                <c:pt idx="50">
                  <c:v>-8.5931544258845971E-3</c:v>
                </c:pt>
                <c:pt idx="51">
                  <c:v>1.9047712701097286E-2</c:v>
                </c:pt>
                <c:pt idx="52">
                  <c:v>2.3655654204666643E-2</c:v>
                </c:pt>
                <c:pt idx="53">
                  <c:v>-5.6403301119556382E-3</c:v>
                </c:pt>
                <c:pt idx="54">
                  <c:v>-3.2077184790526569E-3</c:v>
                </c:pt>
                <c:pt idx="55">
                  <c:v>1.3222939981196946E-2</c:v>
                </c:pt>
                <c:pt idx="56">
                  <c:v>1.2746483199213676E-2</c:v>
                </c:pt>
                <c:pt idx="57">
                  <c:v>-2.0031002152091082E-2</c:v>
                </c:pt>
                <c:pt idx="58">
                  <c:v>3.1828440101039357E-2</c:v>
                </c:pt>
                <c:pt idx="59">
                  <c:v>-3.4817684288713791E-3</c:v>
                </c:pt>
                <c:pt idx="60">
                  <c:v>2.5762177377538498E-2</c:v>
                </c:pt>
                <c:pt idx="61">
                  <c:v>2.9002945484044806E-2</c:v>
                </c:pt>
                <c:pt idx="62">
                  <c:v>8.090144184591308E-3</c:v>
                </c:pt>
                <c:pt idx="63">
                  <c:v>3.4117353251677418E-2</c:v>
                </c:pt>
                <c:pt idx="64">
                  <c:v>-8.5712209981162801E-2</c:v>
                </c:pt>
                <c:pt idx="65">
                  <c:v>-9.4580632559382316E-3</c:v>
                </c:pt>
                <c:pt idx="66">
                  <c:v>1.1595679959233163E-2</c:v>
                </c:pt>
                <c:pt idx="67">
                  <c:v>-1.7462742232962514E-2</c:v>
                </c:pt>
                <c:pt idx="68">
                  <c:v>-2.2722960625518152E-2</c:v>
                </c:pt>
                <c:pt idx="69">
                  <c:v>7.378718909539117E-3</c:v>
                </c:pt>
                <c:pt idx="70">
                  <c:v>-1.2369290380268794E-2</c:v>
                </c:pt>
                <c:pt idx="71">
                  <c:v>4.5410314628608894E-3</c:v>
                </c:pt>
                <c:pt idx="72">
                  <c:v>2.0351221073264814E-3</c:v>
                </c:pt>
                <c:pt idx="73">
                  <c:v>6.5008126015619894E-5</c:v>
                </c:pt>
                <c:pt idx="74">
                  <c:v>1.989554963942175E-2</c:v>
                </c:pt>
                <c:pt idx="75">
                  <c:v>3.398196487897498E-2</c:v>
                </c:pt>
                <c:pt idx="76">
                  <c:v>-1.5129088047864614E-2</c:v>
                </c:pt>
                <c:pt idx="77">
                  <c:v>8.2126984952046733E-4</c:v>
                </c:pt>
                <c:pt idx="78">
                  <c:v>6.2292749772481226E-3</c:v>
                </c:pt>
                <c:pt idx="79">
                  <c:v>-3.0918324936389352E-2</c:v>
                </c:pt>
                <c:pt idx="80">
                  <c:v>-1.8818567918916895E-2</c:v>
                </c:pt>
                <c:pt idx="81">
                  <c:v>-8.099842146803482E-3</c:v>
                </c:pt>
                <c:pt idx="82">
                  <c:v>7.3794320073545805E-3</c:v>
                </c:pt>
                <c:pt idx="83">
                  <c:v>2.4315629803825844E-2</c:v>
                </c:pt>
                <c:pt idx="84">
                  <c:v>-1.4610951442285969E-2</c:v>
                </c:pt>
                <c:pt idx="85">
                  <c:v>3.5505232814812882E-2</c:v>
                </c:pt>
                <c:pt idx="86">
                  <c:v>-1.0423359014817835E-2</c:v>
                </c:pt>
                <c:pt idx="87">
                  <c:v>-2.1549122948181565E-2</c:v>
                </c:pt>
                <c:pt idx="88">
                  <c:v>8.8071756158933923E-3</c:v>
                </c:pt>
                <c:pt idx="89">
                  <c:v>8.8286324064548172E-3</c:v>
                </c:pt>
                <c:pt idx="90">
                  <c:v>1.9229585871638477E-3</c:v>
                </c:pt>
                <c:pt idx="91">
                  <c:v>6.5810867309805676E-3</c:v>
                </c:pt>
                <c:pt idx="92">
                  <c:v>1.3189341840336821E-2</c:v>
                </c:pt>
                <c:pt idx="93">
                  <c:v>2.4561835922220832E-2</c:v>
                </c:pt>
                <c:pt idx="94">
                  <c:v>-3.2609033702740042E-2</c:v>
                </c:pt>
                <c:pt idx="95">
                  <c:v>1.0406682902558417E-2</c:v>
                </c:pt>
                <c:pt idx="96">
                  <c:v>1.8113662297774447E-2</c:v>
                </c:pt>
                <c:pt idx="97">
                  <c:v>2.6637908382237008E-2</c:v>
                </c:pt>
                <c:pt idx="98">
                  <c:v>5.7757002141800573E-3</c:v>
                </c:pt>
                <c:pt idx="99">
                  <c:v>-2.1665005790621916E-2</c:v>
                </c:pt>
                <c:pt idx="100">
                  <c:v>8.6058426282591416E-3</c:v>
                </c:pt>
                <c:pt idx="101">
                  <c:v>-5.3928747048239689E-3</c:v>
                </c:pt>
                <c:pt idx="102">
                  <c:v>2.248755449226203E-2</c:v>
                </c:pt>
                <c:pt idx="103">
                  <c:v>4.0163093223866131E-3</c:v>
                </c:pt>
                <c:pt idx="104">
                  <c:v>1.7115199742159248E-3</c:v>
                </c:pt>
                <c:pt idx="105">
                  <c:v>1.0012740426439626E-2</c:v>
                </c:pt>
                <c:pt idx="106">
                  <c:v>-9.3574859887910478E-3</c:v>
                </c:pt>
                <c:pt idx="107">
                  <c:v>-5.4247747971931659E-3</c:v>
                </c:pt>
                <c:pt idx="108">
                  <c:v>-1.4853179905689462E-3</c:v>
                </c:pt>
                <c:pt idx="109">
                  <c:v>-1.5101994202835534E-2</c:v>
                </c:pt>
                <c:pt idx="110">
                  <c:v>1.2454506912746854E-2</c:v>
                </c:pt>
                <c:pt idx="111">
                  <c:v>2.0463088341882818E-2</c:v>
                </c:pt>
                <c:pt idx="112">
                  <c:v>1.9478362691618401E-3</c:v>
                </c:pt>
                <c:pt idx="113">
                  <c:v>1.7441061241322497E-2</c:v>
                </c:pt>
                <c:pt idx="114">
                  <c:v>-1.0215998639378721E-2</c:v>
                </c:pt>
                <c:pt idx="115">
                  <c:v>-2.6668800317840358E-2</c:v>
                </c:pt>
                <c:pt idx="116">
                  <c:v>-1.0397156072015634E-2</c:v>
                </c:pt>
                <c:pt idx="117">
                  <c:v>1.1081051236749184E-2</c:v>
                </c:pt>
                <c:pt idx="118">
                  <c:v>1.4785887573467216E-2</c:v>
                </c:pt>
                <c:pt idx="119">
                  <c:v>-2.319783561398836E-3</c:v>
                </c:pt>
                <c:pt idx="120">
                  <c:v>9.0984471156285718E-3</c:v>
                </c:pt>
                <c:pt idx="121">
                  <c:v>6.3748864668482508E-3</c:v>
                </c:pt>
                <c:pt idx="122">
                  <c:v>1.1872964450035273E-2</c:v>
                </c:pt>
                <c:pt idx="123">
                  <c:v>7.7217395331066196E-3</c:v>
                </c:pt>
                <c:pt idx="124">
                  <c:v>1.0168401356566603E-2</c:v>
                </c:pt>
                <c:pt idx="125">
                  <c:v>9.0211279654968113E-3</c:v>
                </c:pt>
                <c:pt idx="126">
                  <c:v>1.3126513045817134E-2</c:v>
                </c:pt>
                <c:pt idx="127">
                  <c:v>-4.172718398056996E-3</c:v>
                </c:pt>
                <c:pt idx="128">
                  <c:v>2.4704323853395049E-3</c:v>
                </c:pt>
                <c:pt idx="129">
                  <c:v>-5.6192109369901377E-3</c:v>
                </c:pt>
                <c:pt idx="130">
                  <c:v>4.913389582898553E-3</c:v>
                </c:pt>
                <c:pt idx="131">
                  <c:v>9.6750111380028425E-3</c:v>
                </c:pt>
                <c:pt idx="132">
                  <c:v>2.4802872690926625E-2</c:v>
                </c:pt>
                <c:pt idx="133">
                  <c:v>-3.4432297495050612E-3</c:v>
                </c:pt>
                <c:pt idx="134">
                  <c:v>1.7517736708417164E-2</c:v>
                </c:pt>
                <c:pt idx="135">
                  <c:v>1.0769279413159527E-2</c:v>
                </c:pt>
                <c:pt idx="136">
                  <c:v>2.7624704322736671E-2</c:v>
                </c:pt>
                <c:pt idx="137">
                  <c:v>-5.6089743589744501E-3</c:v>
                </c:pt>
                <c:pt idx="138">
                  <c:v>5.4470625110726534E-2</c:v>
                </c:pt>
                <c:pt idx="139">
                  <c:v>-2.3780540533349326E-2</c:v>
                </c:pt>
                <c:pt idx="140">
                  <c:v>-1.895103662953479E-2</c:v>
                </c:pt>
                <c:pt idx="141">
                  <c:v>7.210464046273124E-3</c:v>
                </c:pt>
                <c:pt idx="142">
                  <c:v>-1.1962437167980733E-2</c:v>
                </c:pt>
                <c:pt idx="143">
                  <c:v>-1.1002280098911243E-2</c:v>
                </c:pt>
                <c:pt idx="144">
                  <c:v>-2.5304093603861433E-2</c:v>
                </c:pt>
                <c:pt idx="145">
                  <c:v>5.9638516279363341E-3</c:v>
                </c:pt>
                <c:pt idx="146">
                  <c:v>-1.3224126573782913E-2</c:v>
                </c:pt>
                <c:pt idx="147">
                  <c:v>2.0606460369508195E-2</c:v>
                </c:pt>
                <c:pt idx="148">
                  <c:v>1.0603039961396554E-3</c:v>
                </c:pt>
                <c:pt idx="149">
                  <c:v>-2.43567030489239E-2</c:v>
                </c:pt>
                <c:pt idx="150">
                  <c:v>4.4987586412876812E-3</c:v>
                </c:pt>
                <c:pt idx="151">
                  <c:v>-1.7857033727915472E-2</c:v>
                </c:pt>
                <c:pt idx="152">
                  <c:v>4.5551933501544184E-3</c:v>
                </c:pt>
                <c:pt idx="153">
                  <c:v>1.5517262877021487E-2</c:v>
                </c:pt>
                <c:pt idx="154">
                  <c:v>2.3520253196865681E-2</c:v>
                </c:pt>
                <c:pt idx="155">
                  <c:v>-1.2868561782324095E-2</c:v>
                </c:pt>
                <c:pt idx="156">
                  <c:v>2.6277683685210773E-2</c:v>
                </c:pt>
                <c:pt idx="157">
                  <c:v>-2.0620318959677419E-2</c:v>
                </c:pt>
                <c:pt idx="158">
                  <c:v>1.9045284163123677E-2</c:v>
                </c:pt>
                <c:pt idx="159">
                  <c:v>1.0081328363266584E-2</c:v>
                </c:pt>
                <c:pt idx="160">
                  <c:v>1.7673937408397178E-2</c:v>
                </c:pt>
                <c:pt idx="161">
                  <c:v>-1.6026833199558776E-2</c:v>
                </c:pt>
                <c:pt idx="162">
                  <c:v>5.1094028754328225E-3</c:v>
                </c:pt>
                <c:pt idx="163">
                  <c:v>-8.7446118237554105E-3</c:v>
                </c:pt>
                <c:pt idx="164">
                  <c:v>-1.0613730951569256E-2</c:v>
                </c:pt>
                <c:pt idx="165">
                  <c:v>-2.1182496838673126E-3</c:v>
                </c:pt>
                <c:pt idx="166">
                  <c:v>-1.467779358791943E-3</c:v>
                </c:pt>
                <c:pt idx="167">
                  <c:v>1.4480691327841022E-2</c:v>
                </c:pt>
                <c:pt idx="168">
                  <c:v>2.7317250843905683E-4</c:v>
                </c:pt>
                <c:pt idx="169">
                  <c:v>4.17587034000515E-2</c:v>
                </c:pt>
                <c:pt idx="170">
                  <c:v>1.0932255633947507E-2</c:v>
                </c:pt>
                <c:pt idx="171">
                  <c:v>-1.9819795625142689E-2</c:v>
                </c:pt>
                <c:pt idx="172">
                  <c:v>-5.2598100641812584E-2</c:v>
                </c:pt>
                <c:pt idx="173">
                  <c:v>1.6592841669630376E-2</c:v>
                </c:pt>
                <c:pt idx="174">
                  <c:v>-2.3718134872034446E-2</c:v>
                </c:pt>
                <c:pt idx="175">
                  <c:v>-4.4309804094100347E-3</c:v>
                </c:pt>
                <c:pt idx="176">
                  <c:v>-5.5439578984211035E-3</c:v>
                </c:pt>
                <c:pt idx="177">
                  <c:v>2.3053888464283911E-3</c:v>
                </c:pt>
                <c:pt idx="178">
                  <c:v>1.1731896688321974E-2</c:v>
                </c:pt>
                <c:pt idx="179">
                  <c:v>-8.8513920997085327E-3</c:v>
                </c:pt>
                <c:pt idx="180">
                  <c:v>2.4369839829597728E-2</c:v>
                </c:pt>
                <c:pt idx="181">
                  <c:v>2.3405754628135655E-2</c:v>
                </c:pt>
                <c:pt idx="182">
                  <c:v>-2.7652500246899692E-4</c:v>
                </c:pt>
                <c:pt idx="183">
                  <c:v>1.1339574649425366E-2</c:v>
                </c:pt>
                <c:pt idx="184">
                  <c:v>-1.7840559806422074E-2</c:v>
                </c:pt>
                <c:pt idx="185">
                  <c:v>-3.0189636582736101E-2</c:v>
                </c:pt>
                <c:pt idx="186">
                  <c:v>1.0335966986421585E-2</c:v>
                </c:pt>
                <c:pt idx="187">
                  <c:v>1.9327489581836499E-2</c:v>
                </c:pt>
                <c:pt idx="188">
                  <c:v>-2.7942967686466202E-3</c:v>
                </c:pt>
                <c:pt idx="189">
                  <c:v>4.4202464836629929E-2</c:v>
                </c:pt>
                <c:pt idx="190">
                  <c:v>-6.2721349590419972E-3</c:v>
                </c:pt>
                <c:pt idx="191">
                  <c:v>4.6069004524886825E-2</c:v>
                </c:pt>
                <c:pt idx="192">
                  <c:v>3.9442064186135495E-2</c:v>
                </c:pt>
                <c:pt idx="193">
                  <c:v>-1.3842284919156733E-2</c:v>
                </c:pt>
                <c:pt idx="194">
                  <c:v>2.4205400751176498E-2</c:v>
                </c:pt>
                <c:pt idx="195">
                  <c:v>-2.3541349568746761E-2</c:v>
                </c:pt>
                <c:pt idx="196">
                  <c:v>-5.3307625275320958E-2</c:v>
                </c:pt>
                <c:pt idx="197">
                  <c:v>-4.0610106116860223E-2</c:v>
                </c:pt>
                <c:pt idx="198">
                  <c:v>3.4126416828346828E-2</c:v>
                </c:pt>
                <c:pt idx="199">
                  <c:v>-3.2197493773965302E-2</c:v>
                </c:pt>
                <c:pt idx="200">
                  <c:v>-2.6308192682973686E-2</c:v>
                </c:pt>
                <c:pt idx="201">
                  <c:v>-1.3673407405532689E-2</c:v>
                </c:pt>
                <c:pt idx="202">
                  <c:v>3.4779875860985188E-2</c:v>
                </c:pt>
                <c:pt idx="203">
                  <c:v>-3.555654142500142E-3</c:v>
                </c:pt>
                <c:pt idx="204">
                  <c:v>3.6299591638045303E-2</c:v>
                </c:pt>
                <c:pt idx="205">
                  <c:v>2.3606026422693827E-2</c:v>
                </c:pt>
                <c:pt idx="206">
                  <c:v>-1.3153671212855822E-2</c:v>
                </c:pt>
                <c:pt idx="207">
                  <c:v>3.7576519457815927E-4</c:v>
                </c:pt>
                <c:pt idx="208">
                  <c:v>-1.1794889106437667E-2</c:v>
                </c:pt>
                <c:pt idx="209">
                  <c:v>5.0684542810527144E-2</c:v>
                </c:pt>
                <c:pt idx="210">
                  <c:v>-6.6219769883484547E-2</c:v>
                </c:pt>
                <c:pt idx="211">
                  <c:v>-4.4343301344542119E-2</c:v>
                </c:pt>
                <c:pt idx="212">
                  <c:v>-9.1202187848907768E-3</c:v>
                </c:pt>
                <c:pt idx="213">
                  <c:v>5.7131489954246995E-2</c:v>
                </c:pt>
                <c:pt idx="214">
                  <c:v>-1.1561602894333167E-2</c:v>
                </c:pt>
                <c:pt idx="215">
                  <c:v>-1.9863040098672791E-2</c:v>
                </c:pt>
                <c:pt idx="216">
                  <c:v>-3.1123520672166061E-3</c:v>
                </c:pt>
                <c:pt idx="217">
                  <c:v>-2.750842317010127E-2</c:v>
                </c:pt>
                <c:pt idx="218">
                  <c:v>-2.7532325954637726E-2</c:v>
                </c:pt>
                <c:pt idx="219">
                  <c:v>-1.0695026962252885E-2</c:v>
                </c:pt>
                <c:pt idx="220">
                  <c:v>-5.8256591095914301E-3</c:v>
                </c:pt>
                <c:pt idx="221">
                  <c:v>-2.9774665332760186E-4</c:v>
                </c:pt>
                <c:pt idx="222">
                  <c:v>1.0847188278776398E-2</c:v>
                </c:pt>
                <c:pt idx="223">
                  <c:v>5.4520525336904768E-2</c:v>
                </c:pt>
                <c:pt idx="224">
                  <c:v>-2.3311034923154228E-2</c:v>
                </c:pt>
                <c:pt idx="225">
                  <c:v>-1.815802288775259E-2</c:v>
                </c:pt>
                <c:pt idx="226">
                  <c:v>2.1778517962702804E-3</c:v>
                </c:pt>
                <c:pt idx="227">
                  <c:v>-1.6363636363636358E-2</c:v>
                </c:pt>
                <c:pt idx="228">
                  <c:v>-2.1914068113233487E-3</c:v>
                </c:pt>
                <c:pt idx="229">
                  <c:v>1.8520664231395312E-2</c:v>
                </c:pt>
                <c:pt idx="230">
                  <c:v>3.6591390045970229E-5</c:v>
                </c:pt>
                <c:pt idx="231">
                  <c:v>-4.7726071629759947E-2</c:v>
                </c:pt>
                <c:pt idx="232">
                  <c:v>3.0757938519074823E-3</c:v>
                </c:pt>
                <c:pt idx="233">
                  <c:v>1.2817450376090278E-4</c:v>
                </c:pt>
                <c:pt idx="234">
                  <c:v>1.1831354563353935E-2</c:v>
                </c:pt>
                <c:pt idx="235">
                  <c:v>1.7685948429982279E-2</c:v>
                </c:pt>
                <c:pt idx="236">
                  <c:v>-1.1152901534117188E-2</c:v>
                </c:pt>
                <c:pt idx="237">
                  <c:v>3.1117146544816121E-2</c:v>
                </c:pt>
                <c:pt idx="238">
                  <c:v>-1.6661754356417258E-2</c:v>
                </c:pt>
                <c:pt idx="239">
                  <c:v>-2.0566749145752294E-2</c:v>
                </c:pt>
                <c:pt idx="240">
                  <c:v>-1.8713470577013225E-2</c:v>
                </c:pt>
                <c:pt idx="241">
                  <c:v>3.2072101331601655E-3</c:v>
                </c:pt>
                <c:pt idx="242">
                  <c:v>1.3281305093909346E-2</c:v>
                </c:pt>
                <c:pt idx="243">
                  <c:v>-6.1791124972258027E-3</c:v>
                </c:pt>
                <c:pt idx="244">
                  <c:v>1.4847347925816656E-2</c:v>
                </c:pt>
                <c:pt idx="245">
                  <c:v>2.1462475480105603E-2</c:v>
                </c:pt>
                <c:pt idx="246">
                  <c:v>1.1853930175144134E-2</c:v>
                </c:pt>
                <c:pt idx="247">
                  <c:v>-1.3029650769081913E-2</c:v>
                </c:pt>
                <c:pt idx="248">
                  <c:v>4.7933512754931851E-3</c:v>
                </c:pt>
                <c:pt idx="249">
                  <c:v>-6.2305672110363197E-3</c:v>
                </c:pt>
                <c:pt idx="250">
                  <c:v>-2.0473456063679452E-2</c:v>
                </c:pt>
                <c:pt idx="251">
                  <c:v>3.8528210486323822E-3</c:v>
                </c:pt>
                <c:pt idx="252">
                  <c:v>1.9864742957128145E-2</c:v>
                </c:pt>
                <c:pt idx="253">
                  <c:v>-2.0832221767715264E-2</c:v>
                </c:pt>
                <c:pt idx="254">
                  <c:v>7.1649918498217779E-3</c:v>
                </c:pt>
                <c:pt idx="255">
                  <c:v>8.7819157586599417E-3</c:v>
                </c:pt>
                <c:pt idx="256">
                  <c:v>3.0146685676999407E-3</c:v>
                </c:pt>
                <c:pt idx="257">
                  <c:v>1.146981001790448E-2</c:v>
                </c:pt>
                <c:pt idx="258">
                  <c:v>-1.6148328954566971E-2</c:v>
                </c:pt>
                <c:pt idx="259">
                  <c:v>-2.488785472689381E-3</c:v>
                </c:pt>
                <c:pt idx="260">
                  <c:v>9.6045333397354327E-4</c:v>
                </c:pt>
                <c:pt idx="261">
                  <c:v>3.1888007928642104E-2</c:v>
                </c:pt>
                <c:pt idx="262">
                  <c:v>-3.2998101216539233E-2</c:v>
                </c:pt>
                <c:pt idx="263">
                  <c:v>-8.259170372320046E-4</c:v>
                </c:pt>
                <c:pt idx="264">
                  <c:v>9.2415301074555423E-3</c:v>
                </c:pt>
                <c:pt idx="265">
                  <c:v>1.1035114503816779E-2</c:v>
                </c:pt>
                <c:pt idx="266">
                  <c:v>-2.46110359784113E-3</c:v>
                </c:pt>
                <c:pt idx="267">
                  <c:v>-1.0548268878387446E-2</c:v>
                </c:pt>
                <c:pt idx="268">
                  <c:v>2.2880148958339896E-2</c:v>
                </c:pt>
                <c:pt idx="269">
                  <c:v>8.2068369739607405E-4</c:v>
                </c:pt>
                <c:pt idx="270">
                  <c:v>1.2170786405787393E-3</c:v>
                </c:pt>
                <c:pt idx="271">
                  <c:v>1.440801183224294E-2</c:v>
                </c:pt>
                <c:pt idx="272">
                  <c:v>1.2963268622795399E-2</c:v>
                </c:pt>
                <c:pt idx="273">
                  <c:v>4.4444444444444731E-3</c:v>
                </c:pt>
                <c:pt idx="274">
                  <c:v>7.7237940407266503E-3</c:v>
                </c:pt>
                <c:pt idx="275">
                  <c:v>-9.7294339238445104E-3</c:v>
                </c:pt>
                <c:pt idx="276">
                  <c:v>3.0383299020443566E-2</c:v>
                </c:pt>
                <c:pt idx="277">
                  <c:v>1.6075413876952771E-2</c:v>
                </c:pt>
                <c:pt idx="278">
                  <c:v>-2.2925657599250138E-2</c:v>
                </c:pt>
                <c:pt idx="279">
                  <c:v>-4.4893816364766082E-4</c:v>
                </c:pt>
                <c:pt idx="280">
                  <c:v>1.990762860328088E-2</c:v>
                </c:pt>
              </c:numCache>
            </c:numRef>
          </c:xVal>
          <c:yVal>
            <c:numRef>
              <c:f>'Cost of Equity'!$F$50:$F$330</c:f>
              <c:numCache>
                <c:formatCode>0.000%</c:formatCode>
                <c:ptCount val="281"/>
                <c:pt idx="0">
                  <c:v>-3.1764832561645417E-2</c:v>
                </c:pt>
                <c:pt idx="1">
                  <c:v>-2.1768898563954919E-2</c:v>
                </c:pt>
                <c:pt idx="2">
                  <c:v>1.7760148656375208E-2</c:v>
                </c:pt>
                <c:pt idx="3">
                  <c:v>2.2922636103150928E-3</c:v>
                </c:pt>
                <c:pt idx="4">
                  <c:v>-1.0876111524426912E-2</c:v>
                </c:pt>
                <c:pt idx="5">
                  <c:v>2.1274286334527215E-2</c:v>
                </c:pt>
                <c:pt idx="6">
                  <c:v>2.3209428830461842E-3</c:v>
                </c:pt>
                <c:pt idx="7">
                  <c:v>-3.7991906223834748E-2</c:v>
                </c:pt>
                <c:pt idx="8">
                  <c:v>-4.2490646712987745E-2</c:v>
                </c:pt>
                <c:pt idx="9">
                  <c:v>-3.8540596094552959E-2</c:v>
                </c:pt>
                <c:pt idx="10">
                  <c:v>1.8581523161476099E-2</c:v>
                </c:pt>
                <c:pt idx="11">
                  <c:v>-4.7535325910007531E-3</c:v>
                </c:pt>
                <c:pt idx="12">
                  <c:v>4.0536122915986184E-3</c:v>
                </c:pt>
                <c:pt idx="13">
                  <c:v>-9.5515622470456751E-3</c:v>
                </c:pt>
                <c:pt idx="14">
                  <c:v>-5.3942290020216777E-2</c:v>
                </c:pt>
                <c:pt idx="15">
                  <c:v>-4.8771566176919467E-3</c:v>
                </c:pt>
                <c:pt idx="16">
                  <c:v>-3.8116460446842249E-2</c:v>
                </c:pt>
                <c:pt idx="17">
                  <c:v>3.5932326944689175E-2</c:v>
                </c:pt>
                <c:pt idx="18">
                  <c:v>5.0369375419745399E-3</c:v>
                </c:pt>
                <c:pt idx="19">
                  <c:v>1.2837755226799974E-3</c:v>
                </c:pt>
                <c:pt idx="20">
                  <c:v>3.860317460317475E-2</c:v>
                </c:pt>
                <c:pt idx="21">
                  <c:v>1.8593371059013819E-2</c:v>
                </c:pt>
                <c:pt idx="22">
                  <c:v>5.9200468399309703E-3</c:v>
                </c:pt>
                <c:pt idx="23">
                  <c:v>3.579330990499674E-4</c:v>
                </c:pt>
                <c:pt idx="24">
                  <c:v>1.3387852008177825E-2</c:v>
                </c:pt>
                <c:pt idx="25">
                  <c:v>-2.3883095146131073E-2</c:v>
                </c:pt>
                <c:pt idx="26">
                  <c:v>-1.6337386018236977E-2</c:v>
                </c:pt>
                <c:pt idx="27">
                  <c:v>-2.778479413993562E-3</c:v>
                </c:pt>
                <c:pt idx="28">
                  <c:v>1.7639687690775396E-2</c:v>
                </c:pt>
                <c:pt idx="29">
                  <c:v>-1.8921172471296765E-3</c:v>
                </c:pt>
                <c:pt idx="30">
                  <c:v>7.9844835946338844E-3</c:v>
                </c:pt>
                <c:pt idx="31">
                  <c:v>7.5562648601115168E-3</c:v>
                </c:pt>
                <c:pt idx="32">
                  <c:v>2.4594540479209615E-2</c:v>
                </c:pt>
                <c:pt idx="33">
                  <c:v>4.1215695472975877E-3</c:v>
                </c:pt>
                <c:pt idx="34">
                  <c:v>-2.4068805389319547E-2</c:v>
                </c:pt>
                <c:pt idx="35">
                  <c:v>-7.4653510337886475E-3</c:v>
                </c:pt>
                <c:pt idx="36">
                  <c:v>3.7305141241035678E-2</c:v>
                </c:pt>
                <c:pt idx="37">
                  <c:v>-1.3190245199016681E-2</c:v>
                </c:pt>
                <c:pt idx="38">
                  <c:v>-1.3956231162363997E-2</c:v>
                </c:pt>
                <c:pt idx="39">
                  <c:v>9.4582975064487762E-3</c:v>
                </c:pt>
                <c:pt idx="40">
                  <c:v>-9.8886705959396748E-3</c:v>
                </c:pt>
                <c:pt idx="41">
                  <c:v>-2.8564158025319752E-2</c:v>
                </c:pt>
                <c:pt idx="42">
                  <c:v>2.6790840084198742E-3</c:v>
                </c:pt>
                <c:pt idx="43">
                  <c:v>-1.6875218900244127E-3</c:v>
                </c:pt>
                <c:pt idx="44">
                  <c:v>1.6638073349949822E-2</c:v>
                </c:pt>
                <c:pt idx="45">
                  <c:v>1.139302668194464E-2</c:v>
                </c:pt>
                <c:pt idx="46">
                  <c:v>8.4519132358282789E-3</c:v>
                </c:pt>
                <c:pt idx="47">
                  <c:v>1.4808858511743184E-2</c:v>
                </c:pt>
                <c:pt idx="48">
                  <c:v>4.7126939778503463E-3</c:v>
                </c:pt>
                <c:pt idx="49">
                  <c:v>-9.4695075189225042E-3</c:v>
                </c:pt>
                <c:pt idx="50">
                  <c:v>1.9824537540805265E-2</c:v>
                </c:pt>
                <c:pt idx="51">
                  <c:v>8.6777568170124386E-3</c:v>
                </c:pt>
                <c:pt idx="52">
                  <c:v>1.4228066513602089E-2</c:v>
                </c:pt>
                <c:pt idx="53">
                  <c:v>-4.7861945612931112E-2</c:v>
                </c:pt>
                <c:pt idx="54">
                  <c:v>-1.773165018219669E-2</c:v>
                </c:pt>
                <c:pt idx="55">
                  <c:v>-2.0678668153576552E-2</c:v>
                </c:pt>
                <c:pt idx="56">
                  <c:v>-2.2888387322376191E-3</c:v>
                </c:pt>
                <c:pt idx="57">
                  <c:v>-1.2680079093562724E-2</c:v>
                </c:pt>
                <c:pt idx="58">
                  <c:v>1.5716653914817691E-2</c:v>
                </c:pt>
                <c:pt idx="59">
                  <c:v>5.5135273753046388E-3</c:v>
                </c:pt>
                <c:pt idx="60">
                  <c:v>-1.5091242028162033E-2</c:v>
                </c:pt>
                <c:pt idx="61">
                  <c:v>1.7475104400899388E-2</c:v>
                </c:pt>
                <c:pt idx="62">
                  <c:v>4.5175863181672327E-3</c:v>
                </c:pt>
                <c:pt idx="63">
                  <c:v>3.2621372163539997E-2</c:v>
                </c:pt>
                <c:pt idx="64">
                  <c:v>-2.2729492982513144E-2</c:v>
                </c:pt>
                <c:pt idx="65">
                  <c:v>5.4020429544263671E-3</c:v>
                </c:pt>
                <c:pt idx="66">
                  <c:v>1.8710602674849142E-2</c:v>
                </c:pt>
                <c:pt idx="67">
                  <c:v>-6.6793239752248823E-2</c:v>
                </c:pt>
                <c:pt idx="68">
                  <c:v>4.2032886842020112E-2</c:v>
                </c:pt>
                <c:pt idx="69">
                  <c:v>1.1548177553229788E-2</c:v>
                </c:pt>
                <c:pt idx="70">
                  <c:v>-1.2121212121212199E-2</c:v>
                </c:pt>
                <c:pt idx="71">
                  <c:v>4.8419979612640107E-2</c:v>
                </c:pt>
                <c:pt idx="72">
                  <c:v>1.939729823346048E-2</c:v>
                </c:pt>
                <c:pt idx="73">
                  <c:v>1.1350101590415607E-2</c:v>
                </c:pt>
                <c:pt idx="74">
                  <c:v>1.6052678412528998E-2</c:v>
                </c:pt>
                <c:pt idx="75">
                  <c:v>-4.8173993128122206E-3</c:v>
                </c:pt>
                <c:pt idx="76">
                  <c:v>-4.2302734242485873E-2</c:v>
                </c:pt>
                <c:pt idx="77">
                  <c:v>3.9506845582724104E-3</c:v>
                </c:pt>
                <c:pt idx="78">
                  <c:v>3.2116987836545707E-3</c:v>
                </c:pt>
                <c:pt idx="79">
                  <c:v>-1.3216453135536099E-2</c:v>
                </c:pt>
                <c:pt idx="80">
                  <c:v>-7.9603986888755474E-3</c:v>
                </c:pt>
                <c:pt idx="81">
                  <c:v>1.0033444816053505E-2</c:v>
                </c:pt>
                <c:pt idx="82">
                  <c:v>1.9739561802397665E-2</c:v>
                </c:pt>
                <c:pt idx="83">
                  <c:v>-8.0306188702458092E-3</c:v>
                </c:pt>
                <c:pt idx="84">
                  <c:v>-2.1206141084389896E-2</c:v>
                </c:pt>
                <c:pt idx="85">
                  <c:v>1.2736695911385265E-2</c:v>
                </c:pt>
                <c:pt idx="86">
                  <c:v>8.8855473155393661E-3</c:v>
                </c:pt>
                <c:pt idx="87">
                  <c:v>-7.5657063431892824E-2</c:v>
                </c:pt>
                <c:pt idx="88">
                  <c:v>3.7765538945711885E-2</c:v>
                </c:pt>
                <c:pt idx="89">
                  <c:v>4.2138530418751596E-3</c:v>
                </c:pt>
                <c:pt idx="90">
                  <c:v>2.304982054068816E-4</c:v>
                </c:pt>
                <c:pt idx="91">
                  <c:v>2.3110871542633804E-2</c:v>
                </c:pt>
                <c:pt idx="92">
                  <c:v>1.0117020200317572E-3</c:v>
                </c:pt>
                <c:pt idx="93">
                  <c:v>2.424786708576554E-2</c:v>
                </c:pt>
                <c:pt idx="94">
                  <c:v>2.9446407538278319E-3</c:v>
                </c:pt>
                <c:pt idx="95">
                  <c:v>-2.9704338214975312E-3</c:v>
                </c:pt>
                <c:pt idx="96">
                  <c:v>3.9606449064598204E-2</c:v>
                </c:pt>
                <c:pt idx="97">
                  <c:v>3.9490873800903215E-2</c:v>
                </c:pt>
                <c:pt idx="98">
                  <c:v>-3.1732263544038353E-2</c:v>
                </c:pt>
                <c:pt idx="99">
                  <c:v>9.7976190476190439E-2</c:v>
                </c:pt>
                <c:pt idx="100">
                  <c:v>-2.0522388059701413E-2</c:v>
                </c:pt>
                <c:pt idx="101">
                  <c:v>1.3312327688066006E-2</c:v>
                </c:pt>
                <c:pt idx="102">
                  <c:v>1.1191206340356086E-2</c:v>
                </c:pt>
                <c:pt idx="103">
                  <c:v>-1.4715115366504494E-2</c:v>
                </c:pt>
                <c:pt idx="104">
                  <c:v>-1.7541154246501378E-2</c:v>
                </c:pt>
                <c:pt idx="105">
                  <c:v>2.2911901569524273E-2</c:v>
                </c:pt>
                <c:pt idx="106">
                  <c:v>-1.0265016978259878E-2</c:v>
                </c:pt>
                <c:pt idx="107">
                  <c:v>-1.0351886901773022E-2</c:v>
                </c:pt>
                <c:pt idx="108">
                  <c:v>3.0219673782494461E-3</c:v>
                </c:pt>
                <c:pt idx="109">
                  <c:v>-5.2390043321829727E-2</c:v>
                </c:pt>
                <c:pt idx="110">
                  <c:v>-9.5272727272727176E-3</c:v>
                </c:pt>
                <c:pt idx="111">
                  <c:v>1.731281444214261E-2</c:v>
                </c:pt>
                <c:pt idx="112">
                  <c:v>-1.0143176242264351E-2</c:v>
                </c:pt>
                <c:pt idx="113">
                  <c:v>4.0442663333208895E-3</c:v>
                </c:pt>
                <c:pt idx="114">
                  <c:v>1.7203335951232468E-2</c:v>
                </c:pt>
                <c:pt idx="115">
                  <c:v>2.6247703325958938E-3</c:v>
                </c:pt>
                <c:pt idx="116">
                  <c:v>-5.4123071466572026E-2</c:v>
                </c:pt>
                <c:pt idx="117">
                  <c:v>-2.4059724728443532E-3</c:v>
                </c:pt>
                <c:pt idx="118">
                  <c:v>1.2502686823816056E-2</c:v>
                </c:pt>
                <c:pt idx="119">
                  <c:v>-4.5838318236198994E-2</c:v>
                </c:pt>
                <c:pt idx="120">
                  <c:v>6.2601038764489303E-3</c:v>
                </c:pt>
                <c:pt idx="121">
                  <c:v>-2.3576826196473499E-2</c:v>
                </c:pt>
                <c:pt idx="122">
                  <c:v>1.9621943702486266E-2</c:v>
                </c:pt>
                <c:pt idx="123">
                  <c:v>8.8092030262201249E-3</c:v>
                </c:pt>
                <c:pt idx="124">
                  <c:v>-2.5517589631375182E-2</c:v>
                </c:pt>
                <c:pt idx="125">
                  <c:v>1.6389516184219577E-2</c:v>
                </c:pt>
                <c:pt idx="126">
                  <c:v>-2.7518051442451563E-2</c:v>
                </c:pt>
                <c:pt idx="127">
                  <c:v>2.4056973455548913E-2</c:v>
                </c:pt>
                <c:pt idx="128">
                  <c:v>1.5502266514412222E-2</c:v>
                </c:pt>
                <c:pt idx="129">
                  <c:v>-2.5361707868200023E-2</c:v>
                </c:pt>
                <c:pt idx="130">
                  <c:v>1.6489544052108229E-2</c:v>
                </c:pt>
                <c:pt idx="131">
                  <c:v>1.5421032478156516E-2</c:v>
                </c:pt>
                <c:pt idx="132">
                  <c:v>6.0939305852274472E-3</c:v>
                </c:pt>
                <c:pt idx="133">
                  <c:v>-1.5037068121416253E-3</c:v>
                </c:pt>
                <c:pt idx="134">
                  <c:v>1.2104480781482074E-2</c:v>
                </c:pt>
                <c:pt idx="135">
                  <c:v>2.4623753399818815E-2</c:v>
                </c:pt>
                <c:pt idx="136">
                  <c:v>2.9724784345942723E-2</c:v>
                </c:pt>
                <c:pt idx="137">
                  <c:v>-2.9865233135473179E-4</c:v>
                </c:pt>
                <c:pt idx="138">
                  <c:v>4.7349077259931205E-2</c:v>
                </c:pt>
                <c:pt idx="139">
                  <c:v>-9.1046453062648691E-3</c:v>
                </c:pt>
                <c:pt idx="140">
                  <c:v>3.946679553783583E-2</c:v>
                </c:pt>
                <c:pt idx="141">
                  <c:v>3.6258158085566983E-4</c:v>
                </c:pt>
                <c:pt idx="142">
                  <c:v>-5.7774066201032537E-2</c:v>
                </c:pt>
                <c:pt idx="143">
                  <c:v>-3.2253324516934967E-2</c:v>
                </c:pt>
                <c:pt idx="144">
                  <c:v>-2.160083384250433E-2</c:v>
                </c:pt>
                <c:pt idx="145">
                  <c:v>-3.5455912900221875E-3</c:v>
                </c:pt>
                <c:pt idx="146">
                  <c:v>-6.1223036947389842E-3</c:v>
                </c:pt>
                <c:pt idx="147">
                  <c:v>-1.2790779394194929E-2</c:v>
                </c:pt>
                <c:pt idx="148">
                  <c:v>1.0080215801802961E-2</c:v>
                </c:pt>
                <c:pt idx="149">
                  <c:v>-2.3837571893839615E-2</c:v>
                </c:pt>
                <c:pt idx="150">
                  <c:v>5.5745244233851299E-3</c:v>
                </c:pt>
                <c:pt idx="151">
                  <c:v>-2.3841104649185429E-2</c:v>
                </c:pt>
                <c:pt idx="152">
                  <c:v>-5.344880078481884E-3</c:v>
                </c:pt>
                <c:pt idx="153">
                  <c:v>2.2716484708755758E-3</c:v>
                </c:pt>
                <c:pt idx="154">
                  <c:v>9.7226977062649933E-3</c:v>
                </c:pt>
                <c:pt idx="155">
                  <c:v>-2.1145403974397681E-2</c:v>
                </c:pt>
                <c:pt idx="156">
                  <c:v>2.9319443965368563E-2</c:v>
                </c:pt>
                <c:pt idx="157">
                  <c:v>-1.2904324140279089E-2</c:v>
                </c:pt>
                <c:pt idx="158">
                  <c:v>2.4094285016911243E-2</c:v>
                </c:pt>
                <c:pt idx="159">
                  <c:v>-1.0761960608464682E-2</c:v>
                </c:pt>
                <c:pt idx="160">
                  <c:v>1.3529576283037414E-2</c:v>
                </c:pt>
                <c:pt idx="161">
                  <c:v>-3.2177296565724878E-2</c:v>
                </c:pt>
                <c:pt idx="162">
                  <c:v>-1.9923009387451396E-3</c:v>
                </c:pt>
                <c:pt idx="163">
                  <c:v>-1.5509103169252247E-3</c:v>
                </c:pt>
                <c:pt idx="164">
                  <c:v>2.8740490278953423E-3</c:v>
                </c:pt>
                <c:pt idx="165">
                  <c:v>1.2634390193795753E-2</c:v>
                </c:pt>
                <c:pt idx="166">
                  <c:v>1.0658177036473093E-2</c:v>
                </c:pt>
                <c:pt idx="167">
                  <c:v>2.1527802325992607E-2</c:v>
                </c:pt>
                <c:pt idx="168">
                  <c:v>1.1730624798826916E-2</c:v>
                </c:pt>
                <c:pt idx="169">
                  <c:v>3.0516345409648871E-2</c:v>
                </c:pt>
                <c:pt idx="170">
                  <c:v>1.5456586826347207E-2</c:v>
                </c:pt>
                <c:pt idx="171">
                  <c:v>1.973056520245775E-2</c:v>
                </c:pt>
                <c:pt idx="172">
                  <c:v>-2.6164195190842565E-2</c:v>
                </c:pt>
                <c:pt idx="173">
                  <c:v>2.0441444174757128E-2</c:v>
                </c:pt>
                <c:pt idx="174">
                  <c:v>-2.3371235971702653E-2</c:v>
                </c:pt>
                <c:pt idx="175">
                  <c:v>2.8846886670223171E-2</c:v>
                </c:pt>
                <c:pt idx="176">
                  <c:v>-6.8500927222495678E-3</c:v>
                </c:pt>
                <c:pt idx="177">
                  <c:v>-3.0206268810100467E-2</c:v>
                </c:pt>
                <c:pt idx="178">
                  <c:v>1.4446347456996023E-2</c:v>
                </c:pt>
                <c:pt idx="179">
                  <c:v>-1.1528877979842811E-3</c:v>
                </c:pt>
                <c:pt idx="180">
                  <c:v>-2.1523731769771404E-3</c:v>
                </c:pt>
                <c:pt idx="181">
                  <c:v>2.25401282586426E-2</c:v>
                </c:pt>
                <c:pt idx="182">
                  <c:v>-1.5098852636693305E-2</c:v>
                </c:pt>
                <c:pt idx="183">
                  <c:v>5.4486697730347089E-3</c:v>
                </c:pt>
                <c:pt idx="184">
                  <c:v>-2.1761505660932268E-2</c:v>
                </c:pt>
                <c:pt idx="185">
                  <c:v>-4.9743964886611591E-3</c:v>
                </c:pt>
                <c:pt idx="186">
                  <c:v>-5.8181818181819445E-3</c:v>
                </c:pt>
                <c:pt idx="187">
                  <c:v>5.9626147711893118E-3</c:v>
                </c:pt>
                <c:pt idx="188">
                  <c:v>7.2957736099341641E-3</c:v>
                </c:pt>
                <c:pt idx="189">
                  <c:v>-1.1761707086155426E-2</c:v>
                </c:pt>
                <c:pt idx="190">
                  <c:v>3.6427218417611762E-4</c:v>
                </c:pt>
                <c:pt idx="191">
                  <c:v>7.8452170496955187E-2</c:v>
                </c:pt>
                <c:pt idx="192">
                  <c:v>4.6841585787136042E-2</c:v>
                </c:pt>
                <c:pt idx="193">
                  <c:v>4.2754835112998046E-2</c:v>
                </c:pt>
                <c:pt idx="194">
                  <c:v>1.0618011614804468E-2</c:v>
                </c:pt>
                <c:pt idx="195">
                  <c:v>-6.1841837771904773E-2</c:v>
                </c:pt>
                <c:pt idx="196">
                  <c:v>-3.5149660664548277E-2</c:v>
                </c:pt>
                <c:pt idx="197">
                  <c:v>-1.7763563501849489E-2</c:v>
                </c:pt>
                <c:pt idx="198">
                  <c:v>1.968488468036611E-2</c:v>
                </c:pt>
                <c:pt idx="199">
                  <c:v>-9.4960108970616464E-3</c:v>
                </c:pt>
                <c:pt idx="200">
                  <c:v>-3.5979590305395215E-2</c:v>
                </c:pt>
                <c:pt idx="201">
                  <c:v>1.662979632313677E-2</c:v>
                </c:pt>
                <c:pt idx="202">
                  <c:v>1.1379855726574739E-2</c:v>
                </c:pt>
                <c:pt idx="203">
                  <c:v>-1.5719330219842731E-2</c:v>
                </c:pt>
                <c:pt idx="204">
                  <c:v>3.693058781841807E-2</c:v>
                </c:pt>
                <c:pt idx="205">
                  <c:v>-3.9998431434060677E-3</c:v>
                </c:pt>
                <c:pt idx="206">
                  <c:v>6.9894171536881711E-3</c:v>
                </c:pt>
                <c:pt idx="207">
                  <c:v>1.1068943706515899E-3</c:v>
                </c:pt>
                <c:pt idx="208">
                  <c:v>2.0411456232351854E-2</c:v>
                </c:pt>
                <c:pt idx="209">
                  <c:v>5.7684102739141707E-2</c:v>
                </c:pt>
                <c:pt idx="210">
                  <c:v>-1.2637964445193384E-2</c:v>
                </c:pt>
                <c:pt idx="211">
                  <c:v>-4.4210017716218464E-2</c:v>
                </c:pt>
                <c:pt idx="212">
                  <c:v>-1.3935760511374906E-2</c:v>
                </c:pt>
                <c:pt idx="213">
                  <c:v>7.6781668162968719E-2</c:v>
                </c:pt>
                <c:pt idx="214">
                  <c:v>-4.5421155729676754E-2</c:v>
                </c:pt>
                <c:pt idx="215">
                  <c:v>-2.2888587606667232E-2</c:v>
                </c:pt>
                <c:pt idx="216">
                  <c:v>6.5018462032429003E-3</c:v>
                </c:pt>
                <c:pt idx="217">
                  <c:v>-4.037254666826473E-3</c:v>
                </c:pt>
                <c:pt idx="218">
                  <c:v>-1.3572312482535986E-3</c:v>
                </c:pt>
                <c:pt idx="219">
                  <c:v>-3.7779368488030096E-3</c:v>
                </c:pt>
                <c:pt idx="220">
                  <c:v>8.8665997993981893E-3</c:v>
                </c:pt>
                <c:pt idx="221">
                  <c:v>3.1749316996440013E-2</c:v>
                </c:pt>
                <c:pt idx="222">
                  <c:v>1.1133433785367686E-2</c:v>
                </c:pt>
                <c:pt idx="223">
                  <c:v>5.3114118217481243E-2</c:v>
                </c:pt>
                <c:pt idx="224">
                  <c:v>-3.7911878207031124E-2</c:v>
                </c:pt>
                <c:pt idx="225">
                  <c:v>-5.468029665263574E-2</c:v>
                </c:pt>
                <c:pt idx="226">
                  <c:v>-4.5889864325618923E-3</c:v>
                </c:pt>
                <c:pt idx="227">
                  <c:v>-1.7871139677065329E-2</c:v>
                </c:pt>
                <c:pt idx="228">
                  <c:v>-1.8841805737137562E-2</c:v>
                </c:pt>
                <c:pt idx="229">
                  <c:v>1.5502362450701135E-2</c:v>
                </c:pt>
                <c:pt idx="230">
                  <c:v>5.891826073294304E-3</c:v>
                </c:pt>
                <c:pt idx="231">
                  <c:v>-1.2106631485002461E-2</c:v>
                </c:pt>
                <c:pt idx="232">
                  <c:v>-3.5010858983000159E-2</c:v>
                </c:pt>
                <c:pt idx="233">
                  <c:v>-3.7676726228224044E-3</c:v>
                </c:pt>
                <c:pt idx="234">
                  <c:v>7.9714231998495588E-3</c:v>
                </c:pt>
                <c:pt idx="235">
                  <c:v>1.6239969430645873E-2</c:v>
                </c:pt>
                <c:pt idx="236">
                  <c:v>-1.2341019738083658E-2</c:v>
                </c:pt>
                <c:pt idx="237">
                  <c:v>6.2728111338386849E-2</c:v>
                </c:pt>
                <c:pt idx="238">
                  <c:v>-2.7198912043517876E-3</c:v>
                </c:pt>
                <c:pt idx="239">
                  <c:v>-7.6999404643778302E-3</c:v>
                </c:pt>
                <c:pt idx="240">
                  <c:v>5.1063150755974451E-3</c:v>
                </c:pt>
                <c:pt idx="241">
                  <c:v>-1.5861175454438436E-2</c:v>
                </c:pt>
                <c:pt idx="242">
                  <c:v>3.7304011402972792E-2</c:v>
                </c:pt>
                <c:pt idx="243">
                  <c:v>2.9818822345244245E-2</c:v>
                </c:pt>
                <c:pt idx="244">
                  <c:v>-1.5727554179566616E-2</c:v>
                </c:pt>
                <c:pt idx="245">
                  <c:v>-2.2002422285022138E-2</c:v>
                </c:pt>
                <c:pt idx="246">
                  <c:v>1.9635285884822773E-2</c:v>
                </c:pt>
                <c:pt idx="247">
                  <c:v>-1.4162811460108671E-2</c:v>
                </c:pt>
                <c:pt idx="248">
                  <c:v>1.6206853890881945E-2</c:v>
                </c:pt>
                <c:pt idx="249">
                  <c:v>1.3838949744962026E-2</c:v>
                </c:pt>
                <c:pt idx="250">
                  <c:v>1.5074114395778881E-3</c:v>
                </c:pt>
                <c:pt idx="251">
                  <c:v>5.6425804278255054E-3</c:v>
                </c:pt>
                <c:pt idx="252">
                  <c:v>-4.2349784058032247E-3</c:v>
                </c:pt>
                <c:pt idx="253">
                  <c:v>-1.3817938196130086E-3</c:v>
                </c:pt>
                <c:pt idx="254">
                  <c:v>1.0835520189621528E-2</c:v>
                </c:pt>
                <c:pt idx="255">
                  <c:v>-2.6574924807383327E-2</c:v>
                </c:pt>
                <c:pt idx="256">
                  <c:v>-1.028975963121459E-3</c:v>
                </c:pt>
                <c:pt idx="257">
                  <c:v>3.4973375931842465E-2</c:v>
                </c:pt>
                <c:pt idx="258">
                  <c:v>-3.946028513238331E-3</c:v>
                </c:pt>
                <c:pt idx="259">
                  <c:v>8.7745580618927566E-3</c:v>
                </c:pt>
                <c:pt idx="260">
                  <c:v>5.2060924188968016E-3</c:v>
                </c:pt>
                <c:pt idx="261">
                  <c:v>1.2194059750892716E-2</c:v>
                </c:pt>
                <c:pt idx="262">
                  <c:v>-3.0852994555353952E-2</c:v>
                </c:pt>
                <c:pt idx="263">
                  <c:v>1.5211243465592661E-2</c:v>
                </c:pt>
                <c:pt idx="264">
                  <c:v>-2.1805122065927662E-3</c:v>
                </c:pt>
                <c:pt idx="265">
                  <c:v>1.1459955025082014E-2</c:v>
                </c:pt>
                <c:pt idx="266">
                  <c:v>-2.0714655618849775E-3</c:v>
                </c:pt>
                <c:pt idx="267">
                  <c:v>-1.3285641287685279E-2</c:v>
                </c:pt>
                <c:pt idx="268">
                  <c:v>-5.252456794307081E-3</c:v>
                </c:pt>
                <c:pt idx="269">
                  <c:v>6.3944070253219021E-3</c:v>
                </c:pt>
                <c:pt idx="270">
                  <c:v>6.4355586064870351E-3</c:v>
                </c:pt>
                <c:pt idx="271">
                  <c:v>6.912044237083137E-3</c:v>
                </c:pt>
                <c:pt idx="272">
                  <c:v>2.7840682030105146E-2</c:v>
                </c:pt>
                <c:pt idx="273">
                  <c:v>0</c:v>
                </c:pt>
                <c:pt idx="274">
                  <c:v>1.2452796259665666E-2</c:v>
                </c:pt>
                <c:pt idx="275">
                  <c:v>4.7565225581614357E-2</c:v>
                </c:pt>
                <c:pt idx="276">
                  <c:v>2.3966822587645265E-2</c:v>
                </c:pt>
                <c:pt idx="277">
                  <c:v>5.9668186669254997E-3</c:v>
                </c:pt>
                <c:pt idx="278">
                  <c:v>-2.8741047870335601E-2</c:v>
                </c:pt>
                <c:pt idx="279">
                  <c:v>-7.760635811126626E-3</c:v>
                </c:pt>
                <c:pt idx="280">
                  <c:v>6.2094270392323292E-3</c:v>
                </c:pt>
              </c:numCache>
            </c:numRef>
          </c:yVal>
          <c:smooth val="0"/>
          <c:extLst>
            <c:ext xmlns:c16="http://schemas.microsoft.com/office/drawing/2014/chart" uri="{C3380CC4-5D6E-409C-BE32-E72D297353CC}">
              <c16:uniqueId val="{00000002-5198-419F-BD3B-F6E30FF4E581}"/>
            </c:ext>
          </c:extLst>
        </c:ser>
        <c:dLbls>
          <c:showLegendKey val="0"/>
          <c:showVal val="0"/>
          <c:showCatName val="0"/>
          <c:showSerName val="0"/>
          <c:showPercent val="0"/>
          <c:showBubbleSize val="0"/>
        </c:dLbls>
        <c:axId val="640664991"/>
        <c:axId val="460774159"/>
      </c:scatterChart>
      <c:valAx>
        <c:axId val="640664991"/>
        <c:scaling>
          <c:orientation val="minMax"/>
        </c:scaling>
        <c:delete val="0"/>
        <c:axPos val="b"/>
        <c:majorGridlines>
          <c:spPr>
            <a:ln w="9525" cap="flat" cmpd="sng" algn="ctr">
              <a:solidFill>
                <a:schemeClr val="dk1">
                  <a:lumMod val="65000"/>
                  <a:lumOff val="35000"/>
                  <a:alpha val="75000"/>
                </a:schemeClr>
              </a:solidFill>
              <a:round/>
            </a:ln>
            <a:effectLst/>
          </c:spPr>
        </c:majorGridlines>
        <c:numFmt formatCode="0.0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460774159"/>
        <c:crosses val="autoZero"/>
        <c:crossBetween val="midCat"/>
      </c:valAx>
      <c:valAx>
        <c:axId val="460774159"/>
        <c:scaling>
          <c:orientation val="minMax"/>
        </c:scaling>
        <c:delete val="0"/>
        <c:axPos val="l"/>
        <c:majorGridlines>
          <c:spPr>
            <a:ln w="9525" cap="flat" cmpd="sng" algn="ctr">
              <a:solidFill>
                <a:schemeClr val="dk1">
                  <a:lumMod val="65000"/>
                  <a:lumOff val="35000"/>
                  <a:alpha val="75000"/>
                </a:schemeClr>
              </a:solidFill>
              <a:round/>
            </a:ln>
            <a:effectLst/>
          </c:spPr>
        </c:majorGridlines>
        <c:numFmt formatCode="0.000%" sourceLinked="1"/>
        <c:majorTickMark val="none"/>
        <c:minorTickMark val="none"/>
        <c:tickLblPos val="nextTo"/>
        <c:spPr>
          <a:noFill/>
          <a:ln w="9525" cap="flat" cmpd="sng" algn="ctr">
            <a:solidFill>
              <a:schemeClr val="lt1">
                <a:lumMod val="50000"/>
              </a:schemeClr>
            </a:solidFill>
            <a:round/>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40664991"/>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5">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3"/>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dk1">
            <a:lumMod val="65000"/>
            <a:lumOff val="35000"/>
            <a:alpha val="75000"/>
          </a:schemeClr>
        </a:solidFill>
        <a:round/>
      </a:ln>
    </cs:spPr>
  </cs:gridlineMajor>
  <cs:gridlineMinor>
    <cs:lnRef idx="0"/>
    <cs:fillRef idx="0"/>
    <cs:effectRef idx="0"/>
    <cs:fontRef idx="minor">
      <a:schemeClr val="tx1"/>
    </cs:fontRef>
    <cs:spPr>
      <a:ln w="9525" cap="flat" cmpd="sng" algn="ctr">
        <a:solidFill>
          <a:schemeClr val="dk1">
            <a:lumMod val="65000"/>
            <a:lumOff val="35000"/>
            <a:alpha val="25000"/>
          </a:schemeClr>
        </a:soli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spPr>
      <a:ln w="9525" cap="flat" cmpd="sng" algn="ctr">
        <a:solidFill>
          <a:schemeClr val="lt1">
            <a:lumMod val="50000"/>
          </a:schemeClr>
        </a:solidFill>
        <a:round/>
      </a:ln>
    </cs:spPr>
    <cs:defRPr sz="900" kern="1200"/>
    <cs:bodyPr/>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1696</Words>
  <Characters>9669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Durmishkhan Gigineishvili</dc:creator>
  <cp:keywords/>
  <dc:description/>
  <cp:lastModifiedBy>Durmishkhan Gigineishvili</cp:lastModifiedBy>
  <cp:revision>19</cp:revision>
  <dcterms:created xsi:type="dcterms:W3CDTF">2026-07-03T11:44:00Z</dcterms:created>
  <dcterms:modified xsi:type="dcterms:W3CDTF">2026-07-04T18:59:00Z</dcterms:modified>
</cp:coreProperties>
</file>