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bookmarkStart w:id="0" w:name="_GoBack"/>
      <w:bookmarkEnd w:id="0"/>
    </w:p>
    <w:p w:rsidR="007245E5" w:rsidRPr="00974372" w:rsidRDefault="007245E5" w:rsidP="000D4925">
      <w:pPr>
        <w:tabs>
          <w:tab w:val="left" w:pos="4820"/>
        </w:tabs>
        <w:jc w:val="center"/>
        <w:rPr>
          <w:rFonts w:ascii="Tahoma" w:hAnsi="Tahoma" w:cs="Tahoma"/>
          <w:b/>
        </w:rPr>
      </w:pPr>
    </w:p>
    <w:p w:rsidR="00A14321" w:rsidRPr="00A14321" w:rsidRDefault="00E969E1" w:rsidP="00A14321">
      <w:pPr>
        <w:tabs>
          <w:tab w:val="left" w:pos="4820"/>
        </w:tabs>
        <w:jc w:val="center"/>
        <w:rPr>
          <w:rFonts w:ascii="Tahoma" w:hAnsi="Tahoma" w:cs="Tahoma"/>
          <w:b/>
          <w:sz w:val="24"/>
          <w:szCs w:val="24"/>
        </w:rPr>
      </w:pPr>
      <w:r>
        <w:rPr>
          <w:rFonts w:ascii="Tahoma" w:hAnsi="Tahoma" w:cs="Tahoma"/>
          <w:b/>
          <w:sz w:val="24"/>
          <w:szCs w:val="24"/>
        </w:rPr>
        <w:t>COMPTE-RENDU RADIOGRAPHIQUE</w:t>
      </w:r>
    </w:p>
    <w:p w:rsidR="00A14321" w:rsidRDefault="00A14321" w:rsidP="00A14321">
      <w:pPr>
        <w:jc w:val="both"/>
        <w:rPr>
          <w:rFonts w:ascii="Tahoma" w:hAnsi="Tahoma" w:cs="Tahoma"/>
        </w:rPr>
      </w:pPr>
    </w:p>
    <w:p w:rsidR="00E969E1" w:rsidRPr="00A14321" w:rsidRDefault="00E969E1" w:rsidP="00A14321">
      <w:pPr>
        <w:jc w:val="both"/>
        <w:rPr>
          <w:rFonts w:ascii="Tahoma" w:hAnsi="Tahoma" w:cs="Tahoma"/>
        </w:rPr>
      </w:pPr>
    </w:p>
    <w:p w:rsidR="00A14321" w:rsidRPr="00A14321" w:rsidRDefault="00A14321" w:rsidP="00A14321">
      <w:pPr>
        <w:jc w:val="both"/>
        <w:rPr>
          <w:rFonts w:ascii="Tahoma" w:hAnsi="Tahoma" w:cs="Tahoma"/>
          <w:b/>
        </w:rPr>
      </w:pPr>
      <w:r w:rsidRPr="00A14321">
        <w:rPr>
          <w:rFonts w:ascii="Tahoma" w:hAnsi="Tahoma" w:cs="Tahoma"/>
          <w:b/>
          <w:u w:val="single"/>
        </w:rPr>
        <w:t>Abdomen sans préparation</w:t>
      </w:r>
      <w:r w:rsidRPr="00A14321">
        <w:rPr>
          <w:rFonts w:ascii="Tahoma" w:hAnsi="Tahoma" w:cs="Tahoma"/>
          <w:b/>
        </w:rPr>
        <w:t> :</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Absence d’image de type pathologique sur l’aire de projection présumée des viscères abdominaux.</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A signaler une scoliose dorsolombaire à convexité droite.</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b/>
        </w:rPr>
      </w:pPr>
      <w:r w:rsidRPr="00A14321">
        <w:rPr>
          <w:rFonts w:ascii="Tahoma" w:hAnsi="Tahoma" w:cs="Tahoma"/>
          <w:b/>
          <w:u w:val="single"/>
        </w:rPr>
        <w:t xml:space="preserve">Transit </w:t>
      </w:r>
      <w:proofErr w:type="spellStart"/>
      <w:r w:rsidRPr="00A14321">
        <w:rPr>
          <w:rFonts w:ascii="Tahoma" w:hAnsi="Tahoma" w:cs="Tahoma"/>
          <w:b/>
          <w:u w:val="single"/>
        </w:rPr>
        <w:t>oeso</w:t>
      </w:r>
      <w:proofErr w:type="spellEnd"/>
      <w:r w:rsidRPr="00A14321">
        <w:rPr>
          <w:rFonts w:ascii="Tahoma" w:hAnsi="Tahoma" w:cs="Tahoma"/>
          <w:b/>
          <w:u w:val="single"/>
        </w:rPr>
        <w:t>-</w:t>
      </w:r>
      <w:proofErr w:type="spellStart"/>
      <w:r w:rsidRPr="00A14321">
        <w:rPr>
          <w:rFonts w:ascii="Tahoma" w:hAnsi="Tahoma" w:cs="Tahoma"/>
          <w:b/>
          <w:u w:val="single"/>
        </w:rPr>
        <w:t>gastro-duodénal</w:t>
      </w:r>
      <w:proofErr w:type="spellEnd"/>
      <w:r w:rsidRPr="00A14321">
        <w:rPr>
          <w:rFonts w:ascii="Tahoma" w:hAnsi="Tahoma" w:cs="Tahoma"/>
          <w:b/>
        </w:rPr>
        <w:t> :</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Sous écran télévisé, le transit de l’œsophage par le repas opaque s’est effectué de façon satisfaisante ; l’estomac s’est régulièrement rempli ; les passages gastropyloriques ont été retardés.</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Sur les différentes épreuves, l’œsophage est bien calibré et ses bords sont réguliers.</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 xml:space="preserve">L’estomac est de type hypotonique, </w:t>
      </w:r>
      <w:proofErr w:type="spellStart"/>
      <w:r w:rsidRPr="00A14321">
        <w:rPr>
          <w:rFonts w:ascii="Tahoma" w:hAnsi="Tahoma" w:cs="Tahoma"/>
        </w:rPr>
        <w:t>hypocinétique</w:t>
      </w:r>
      <w:proofErr w:type="spellEnd"/>
      <w:r w:rsidRPr="00A14321">
        <w:rPr>
          <w:rFonts w:ascii="Tahoma" w:hAnsi="Tahoma" w:cs="Tahoma"/>
        </w:rPr>
        <w:t xml:space="preserve"> et légèrement </w:t>
      </w:r>
      <w:proofErr w:type="spellStart"/>
      <w:r w:rsidRPr="00A14321">
        <w:rPr>
          <w:rFonts w:ascii="Tahoma" w:hAnsi="Tahoma" w:cs="Tahoma"/>
        </w:rPr>
        <w:t>hypersécréteur</w:t>
      </w:r>
      <w:proofErr w:type="spellEnd"/>
      <w:r w:rsidRPr="00A14321">
        <w:rPr>
          <w:rFonts w:ascii="Tahoma" w:hAnsi="Tahoma" w:cs="Tahoma"/>
        </w:rPr>
        <w:t>. Ses contours sont réguliers.</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 xml:space="preserve">L’expansion </w:t>
      </w:r>
      <w:proofErr w:type="spellStart"/>
      <w:r w:rsidRPr="00A14321">
        <w:rPr>
          <w:rFonts w:ascii="Tahoma" w:hAnsi="Tahoma" w:cs="Tahoma"/>
        </w:rPr>
        <w:t>antrale</w:t>
      </w:r>
      <w:proofErr w:type="spellEnd"/>
      <w:r w:rsidRPr="00A14321">
        <w:rPr>
          <w:rFonts w:ascii="Tahoma" w:hAnsi="Tahoma" w:cs="Tahoma"/>
        </w:rPr>
        <w:t xml:space="preserve"> est satisfaisante. Le bulbe est œdémateux ; au niveau de sa grande courbure, apparaît l’image constante d’un petit spicule qui pourrait correspondre à une ulcération et qui serait à contrôler après traitement d’épreuves. Le cadre duodénal n’est pas modifié.</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Sur les clichés de Trendelenburg, amorce d’une hernie hiatale par glissement avec béance cardiale et reflux gastro-œsophagien associés.</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b/>
        </w:rPr>
      </w:pPr>
      <w:r w:rsidRPr="00A14321">
        <w:rPr>
          <w:rFonts w:ascii="Tahoma" w:hAnsi="Tahoma" w:cs="Tahoma"/>
          <w:b/>
          <w:u w:val="single"/>
        </w:rPr>
        <w:t>CONCLUSION</w:t>
      </w:r>
      <w:r w:rsidRPr="00A14321">
        <w:rPr>
          <w:rFonts w:ascii="Tahoma" w:hAnsi="Tahoma" w:cs="Tahoma"/>
          <w:b/>
        </w:rPr>
        <w:t> :</w:t>
      </w:r>
    </w:p>
    <w:p w:rsidR="00A14321" w:rsidRPr="00A14321" w:rsidRDefault="00A14321" w:rsidP="00A14321">
      <w:pPr>
        <w:jc w:val="both"/>
        <w:rPr>
          <w:rFonts w:ascii="Tahoma" w:hAnsi="Tahoma" w:cs="Tahoma"/>
        </w:rPr>
      </w:pPr>
    </w:p>
    <w:p w:rsidR="00A14321" w:rsidRPr="00A14321" w:rsidRDefault="00A14321" w:rsidP="00A14321">
      <w:pPr>
        <w:jc w:val="both"/>
        <w:rPr>
          <w:rFonts w:ascii="Tahoma" w:hAnsi="Tahoma" w:cs="Tahoma"/>
        </w:rPr>
      </w:pPr>
      <w:r w:rsidRPr="00A14321">
        <w:rPr>
          <w:rFonts w:ascii="Tahoma" w:hAnsi="Tahoma" w:cs="Tahoma"/>
        </w:rPr>
        <w:t xml:space="preserve">Estomac hypotonique, </w:t>
      </w:r>
      <w:proofErr w:type="spellStart"/>
      <w:r w:rsidRPr="00A14321">
        <w:rPr>
          <w:rFonts w:ascii="Tahoma" w:hAnsi="Tahoma" w:cs="Tahoma"/>
        </w:rPr>
        <w:t>hypocinétique</w:t>
      </w:r>
      <w:proofErr w:type="spellEnd"/>
      <w:r w:rsidRPr="00A14321">
        <w:rPr>
          <w:rFonts w:ascii="Tahoma" w:hAnsi="Tahoma" w:cs="Tahoma"/>
        </w:rPr>
        <w:t xml:space="preserve"> et </w:t>
      </w:r>
      <w:proofErr w:type="spellStart"/>
      <w:r w:rsidRPr="00A14321">
        <w:rPr>
          <w:rFonts w:ascii="Tahoma" w:hAnsi="Tahoma" w:cs="Tahoma"/>
        </w:rPr>
        <w:t>hypersécréteur</w:t>
      </w:r>
      <w:proofErr w:type="spellEnd"/>
      <w:r w:rsidRPr="00A14321">
        <w:rPr>
          <w:rFonts w:ascii="Tahoma" w:hAnsi="Tahoma" w:cs="Tahoma"/>
        </w:rPr>
        <w:t xml:space="preserve">. Réaction de </w:t>
      </w:r>
      <w:proofErr w:type="spellStart"/>
      <w:r w:rsidRPr="00A14321">
        <w:rPr>
          <w:rFonts w:ascii="Tahoma" w:hAnsi="Tahoma" w:cs="Tahoma"/>
        </w:rPr>
        <w:t>bulbite</w:t>
      </w:r>
      <w:proofErr w:type="spellEnd"/>
      <w:r w:rsidRPr="00A14321">
        <w:rPr>
          <w:rFonts w:ascii="Tahoma" w:hAnsi="Tahoma" w:cs="Tahoma"/>
        </w:rPr>
        <w:t xml:space="preserve"> avec suspicion d’une ulcération de sa grande courbure. </w:t>
      </w:r>
    </w:p>
    <w:p w:rsidR="00A14321" w:rsidRPr="00A14321" w:rsidRDefault="00A14321" w:rsidP="00A14321">
      <w:pPr>
        <w:jc w:val="both"/>
        <w:rPr>
          <w:rFonts w:ascii="Tahoma" w:hAnsi="Tahoma" w:cs="Tahoma"/>
        </w:rPr>
      </w:pPr>
    </w:p>
    <w:p w:rsidR="000D4925" w:rsidRPr="00A14321" w:rsidRDefault="00A14321" w:rsidP="00A14321">
      <w:pPr>
        <w:jc w:val="both"/>
        <w:rPr>
          <w:rFonts w:ascii="Tahoma" w:hAnsi="Tahoma" w:cs="Tahoma"/>
        </w:rPr>
      </w:pPr>
      <w:r w:rsidRPr="00A14321">
        <w:rPr>
          <w:rFonts w:ascii="Tahoma" w:hAnsi="Tahoma" w:cs="Tahoma"/>
        </w:rPr>
        <w:t>Sur les épreuves en Trendelenburg, hernie hiatale par glissement avec béance cardiale et reflux gastro-œsophagien.</w:t>
      </w:r>
    </w:p>
    <w:p w:rsidR="002C628B" w:rsidRDefault="002C628B" w:rsidP="000D4925">
      <w:pPr>
        <w:pStyle w:val="LISTEtitreniveau1"/>
        <w:numPr>
          <w:ilvl w:val="0"/>
          <w:numId w:val="0"/>
        </w:numPr>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9031A"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CD4A96"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31A" w:rsidRDefault="0069031A">
      <w:r>
        <w:separator/>
      </w:r>
    </w:p>
  </w:endnote>
  <w:endnote w:type="continuationSeparator" w:id="0">
    <w:p w:rsidR="0069031A" w:rsidRDefault="0069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3950D47B" wp14:editId="6CF4445A">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7476D6">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7476D6">
      <w:rPr>
        <w:b/>
        <w:bCs/>
        <w:noProof/>
      </w:rPr>
      <w:t>2</w:t>
    </w:r>
    <w:r w:rsidR="00983D12" w:rsidRPr="00F234CB">
      <w:rPr>
        <w:b/>
        <w:bCs/>
      </w:rPr>
      <w:fldChar w:fldCharType="end"/>
    </w:r>
  </w:p>
  <w:p w:rsidR="00FE6E52" w:rsidRDefault="00FE6E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FE6E52" w:rsidRDefault="00FE6E5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7476D6">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7476D6">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31A" w:rsidRDefault="0069031A">
      <w:r>
        <w:separator/>
      </w:r>
    </w:p>
  </w:footnote>
  <w:footnote w:type="continuationSeparator" w:id="0">
    <w:p w:rsidR="0069031A" w:rsidRDefault="00690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26825ECB" wp14:editId="727B61C4">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2629C1C" wp14:editId="1C0B940C">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7476D6" w:rsidP="008B02A5">
                          <w:pPr>
                            <w:pStyle w:val="Titrefondvert"/>
                            <w:spacing w:before="240" w:after="240"/>
                            <w:ind w:left="1304"/>
                            <w:rPr>
                              <w:sz w:val="36"/>
                              <w:szCs w:val="36"/>
                            </w:rPr>
                          </w:pPr>
                          <w:r>
                            <w:rPr>
                              <w:sz w:val="36"/>
                              <w:szCs w:val="36"/>
                            </w:rPr>
                            <w:t>TP1 – série1</w:t>
                          </w:r>
                          <w:r w:rsidR="00A14321">
                            <w:rPr>
                              <w:sz w:val="36"/>
                              <w:szCs w:val="36"/>
                            </w:rPr>
                            <w:t xml:space="preserve"> - 8</w:t>
                          </w:r>
                          <w:r w:rsidR="00B43969">
                            <w:rPr>
                              <w:sz w:val="36"/>
                              <w:szCs w:val="36"/>
                            </w:rPr>
                            <w:t xml:space="preserve"> </w:t>
                          </w:r>
                          <w:r w:rsidR="00346B61">
                            <w:rPr>
                              <w:sz w:val="36"/>
                              <w:szCs w:val="36"/>
                            </w:rPr>
                            <w:t>–</w:t>
                          </w:r>
                          <w:r w:rsidR="002C6AF0">
                            <w:rPr>
                              <w:sz w:val="36"/>
                              <w:szCs w:val="36"/>
                            </w:rPr>
                            <w:t xml:space="preserve"> </w:t>
                          </w:r>
                          <w:proofErr w:type="spellStart"/>
                          <w:r w:rsidR="00346B61">
                            <w:rPr>
                              <w:sz w:val="36"/>
                              <w:szCs w:val="36"/>
                            </w:rPr>
                            <w:t>cre</w:t>
                          </w:r>
                          <w:proofErr w:type="spellEnd"/>
                          <w:r w:rsidR="00346B61">
                            <w:rPr>
                              <w:sz w:val="36"/>
                              <w:szCs w:val="36"/>
                            </w:rPr>
                            <w:t xml:space="preserve"> - abdomen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7476D6" w:rsidP="008B02A5">
                    <w:pPr>
                      <w:pStyle w:val="Titrefondvert"/>
                      <w:spacing w:before="240" w:after="240"/>
                      <w:ind w:left="1304"/>
                      <w:rPr>
                        <w:sz w:val="36"/>
                        <w:szCs w:val="36"/>
                      </w:rPr>
                    </w:pPr>
                    <w:r>
                      <w:rPr>
                        <w:sz w:val="36"/>
                        <w:szCs w:val="36"/>
                      </w:rPr>
                      <w:t>TP1 – série1</w:t>
                    </w:r>
                    <w:r w:rsidR="00A14321">
                      <w:rPr>
                        <w:sz w:val="36"/>
                        <w:szCs w:val="36"/>
                      </w:rPr>
                      <w:t xml:space="preserve"> - 8</w:t>
                    </w:r>
                    <w:r w:rsidR="00B43969">
                      <w:rPr>
                        <w:sz w:val="36"/>
                        <w:szCs w:val="36"/>
                      </w:rPr>
                      <w:t xml:space="preserve"> </w:t>
                    </w:r>
                    <w:r w:rsidR="00346B61">
                      <w:rPr>
                        <w:sz w:val="36"/>
                        <w:szCs w:val="36"/>
                      </w:rPr>
                      <w:t>–</w:t>
                    </w:r>
                    <w:r w:rsidR="002C6AF0">
                      <w:rPr>
                        <w:sz w:val="36"/>
                        <w:szCs w:val="36"/>
                      </w:rPr>
                      <w:t xml:space="preserve"> </w:t>
                    </w:r>
                    <w:proofErr w:type="spellStart"/>
                    <w:r w:rsidR="00346B61">
                      <w:rPr>
                        <w:sz w:val="36"/>
                        <w:szCs w:val="36"/>
                      </w:rPr>
                      <w:t>cre</w:t>
                    </w:r>
                    <w:proofErr w:type="spellEnd"/>
                    <w:r w:rsidR="00346B61">
                      <w:rPr>
                        <w:sz w:val="36"/>
                        <w:szCs w:val="36"/>
                      </w:rPr>
                      <w:t xml:space="preserve"> - abdomen</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FE6E52" w:rsidRDefault="00FE6E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031846D" wp14:editId="56B20F34">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07FE3448" wp14:editId="3E28615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FE6E52" w:rsidRDefault="00FE6E5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B15D6B">
                            <w:rPr>
                              <w:sz w:val="24"/>
                              <w:szCs w:val="24"/>
                            </w:rPr>
                            <w:t>P</w:t>
                          </w:r>
                          <w:r w:rsidR="007476D6">
                            <w:rPr>
                              <w:sz w:val="24"/>
                              <w:szCs w:val="24"/>
                            </w:rPr>
                            <w:t>1 – série1</w:t>
                          </w:r>
                          <w:r w:rsidR="00B15D6B">
                            <w:rPr>
                              <w:sz w:val="24"/>
                              <w:szCs w:val="24"/>
                            </w:rPr>
                            <w:t xml:space="preserve"> – 8 – </w:t>
                          </w:r>
                          <w:proofErr w:type="spellStart"/>
                          <w:r w:rsidR="00B15D6B">
                            <w:rPr>
                              <w:sz w:val="24"/>
                              <w:szCs w:val="24"/>
                            </w:rPr>
                            <w:t>cre</w:t>
                          </w:r>
                          <w:proofErr w:type="spellEnd"/>
                          <w:r w:rsidR="00B15D6B">
                            <w:rPr>
                              <w:sz w:val="24"/>
                              <w:szCs w:val="24"/>
                            </w:rPr>
                            <w:t xml:space="preserve"> - abdomen</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B15D6B">
                      <w:rPr>
                        <w:sz w:val="24"/>
                        <w:szCs w:val="24"/>
                      </w:rPr>
                      <w:t>P</w:t>
                    </w:r>
                    <w:r w:rsidR="007476D6">
                      <w:rPr>
                        <w:sz w:val="24"/>
                        <w:szCs w:val="24"/>
                      </w:rPr>
                      <w:t>1 – série1</w:t>
                    </w:r>
                    <w:r w:rsidR="00B15D6B">
                      <w:rPr>
                        <w:sz w:val="24"/>
                        <w:szCs w:val="24"/>
                      </w:rPr>
                      <w:t xml:space="preserve"> – 8 – </w:t>
                    </w:r>
                    <w:proofErr w:type="spellStart"/>
                    <w:r w:rsidR="00B15D6B">
                      <w:rPr>
                        <w:sz w:val="24"/>
                        <w:szCs w:val="24"/>
                      </w:rPr>
                      <w:t>cre</w:t>
                    </w:r>
                    <w:proofErr w:type="spellEnd"/>
                    <w:r w:rsidR="00B15D6B">
                      <w:rPr>
                        <w:sz w:val="24"/>
                        <w:szCs w:val="24"/>
                      </w:rPr>
                      <w:t xml:space="preserve"> - abdomen</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9031A"/>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476D6"/>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5A55"/>
    <w:rsid w:val="00833D4B"/>
    <w:rsid w:val="0084400D"/>
    <w:rsid w:val="008442F0"/>
    <w:rsid w:val="0084780D"/>
    <w:rsid w:val="00855896"/>
    <w:rsid w:val="008934CF"/>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1432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 w:val="00FE6E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D82E6E89-9D83-44E8-927F-7A82069E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1704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2009</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2015-01-28T14:16:00Z</dcterms:created>
  <dcterms:modified xsi:type="dcterms:W3CDTF">2015-01-29T07:30:00Z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