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699" w:rsidRPr="00B82BD6" w:rsidRDefault="00B82BD6" w:rsidP="00D76527">
      <w:pPr>
        <w:jc w:val="center"/>
        <w:rPr>
          <w:b/>
          <w:sz w:val="48"/>
          <w:u w:val="single"/>
        </w:rPr>
      </w:pPr>
      <w:r w:rsidRPr="00B82BD6">
        <w:rPr>
          <w:b/>
          <w:sz w:val="48"/>
          <w:u w:val="single"/>
        </w:rPr>
        <w:t>A RETENIR</w:t>
      </w:r>
    </w:p>
    <w:p w:rsidR="00B82BD6" w:rsidRDefault="00B82BD6" w:rsidP="00D76527">
      <w:pPr>
        <w:pStyle w:val="Sansinterligne"/>
        <w:jc w:val="both"/>
      </w:pPr>
    </w:p>
    <w:p w:rsidR="00B82BD6" w:rsidRPr="00B82BD6" w:rsidRDefault="00B82BD6" w:rsidP="00D76527">
      <w:pPr>
        <w:pStyle w:val="Sansinterligne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LA </w:t>
      </w:r>
      <w:r w:rsidRPr="008E53F6">
        <w:rPr>
          <w:b/>
          <w:sz w:val="24"/>
          <w:szCs w:val="24"/>
          <w:u w:val="single"/>
        </w:rPr>
        <w:t>COMMUNICATION</w:t>
      </w:r>
    </w:p>
    <w:p w:rsidR="00D76527" w:rsidRDefault="00B82BD6" w:rsidP="00D76527">
      <w:pPr>
        <w:pStyle w:val="Sansinterligne"/>
        <w:jc w:val="both"/>
        <w:rPr>
          <w:sz w:val="24"/>
          <w:szCs w:val="24"/>
        </w:rPr>
      </w:pPr>
      <w:r w:rsidRPr="008E53F6">
        <w:rPr>
          <w:sz w:val="24"/>
          <w:szCs w:val="24"/>
          <w:u w:val="single"/>
        </w:rPr>
        <w:t>EXTERNE</w:t>
      </w:r>
      <w:r w:rsidRPr="008E53F6">
        <w:rPr>
          <w:sz w:val="24"/>
          <w:szCs w:val="24"/>
        </w:rPr>
        <w:tab/>
      </w:r>
    </w:p>
    <w:p w:rsidR="00B82BD6" w:rsidRPr="00B82BD6" w:rsidRDefault="00B82BD6" w:rsidP="00D76527">
      <w:pPr>
        <w:pStyle w:val="Sansinterligne"/>
        <w:ind w:firstLine="708"/>
        <w:jc w:val="both"/>
        <w:rPr>
          <w:b/>
          <w:sz w:val="32"/>
          <w:szCs w:val="24"/>
        </w:rPr>
      </w:pPr>
      <w:r w:rsidRPr="008E53F6">
        <w:rPr>
          <w:sz w:val="24"/>
          <w:szCs w:val="24"/>
        </w:rPr>
        <w:t xml:space="preserve">Avec un partenaire (client, fournisseur…) </w:t>
      </w:r>
      <w:r w:rsidRPr="008E53F6">
        <w:rPr>
          <w:sz w:val="24"/>
          <w:szCs w:val="24"/>
        </w:rPr>
        <w:tab/>
      </w:r>
      <w:r w:rsidRPr="008E53F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Pr="00B82BD6">
        <w:rPr>
          <w:b/>
          <w:sz w:val="32"/>
          <w:szCs w:val="24"/>
        </w:rPr>
        <w:t>lettre</w:t>
      </w:r>
    </w:p>
    <w:p w:rsidR="00B82BD6" w:rsidRPr="008E53F6" w:rsidRDefault="00B82BD6" w:rsidP="00D76527">
      <w:pPr>
        <w:pStyle w:val="Sansinterligne"/>
        <w:jc w:val="both"/>
        <w:rPr>
          <w:sz w:val="24"/>
          <w:szCs w:val="24"/>
        </w:rPr>
      </w:pPr>
      <w:r w:rsidRPr="008E53F6">
        <w:rPr>
          <w:sz w:val="24"/>
          <w:szCs w:val="24"/>
        </w:rPr>
        <w:tab/>
        <w:t>Avec un groupe (clients, prospects)</w:t>
      </w:r>
      <w:r w:rsidRPr="008E53F6">
        <w:rPr>
          <w:sz w:val="24"/>
          <w:szCs w:val="24"/>
        </w:rPr>
        <w:tab/>
      </w:r>
      <w:r w:rsidR="00D76527">
        <w:rPr>
          <w:sz w:val="24"/>
          <w:szCs w:val="24"/>
        </w:rPr>
        <w:tab/>
      </w:r>
      <w:r w:rsidRPr="008E53F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Pr="008E53F6">
        <w:rPr>
          <w:sz w:val="24"/>
          <w:szCs w:val="24"/>
        </w:rPr>
        <w:t>circulaire</w:t>
      </w:r>
    </w:p>
    <w:p w:rsidR="00B82BD6" w:rsidRPr="008E53F6" w:rsidRDefault="00B82BD6" w:rsidP="00D76527">
      <w:pPr>
        <w:pStyle w:val="Sansinterligne"/>
        <w:jc w:val="both"/>
        <w:rPr>
          <w:sz w:val="24"/>
          <w:szCs w:val="24"/>
        </w:rPr>
      </w:pPr>
    </w:p>
    <w:p w:rsidR="00D76527" w:rsidRDefault="00B82BD6" w:rsidP="00D76527">
      <w:pPr>
        <w:pStyle w:val="Sansinterligne"/>
        <w:jc w:val="both"/>
        <w:rPr>
          <w:sz w:val="24"/>
          <w:szCs w:val="24"/>
        </w:rPr>
      </w:pPr>
      <w:r w:rsidRPr="008E53F6">
        <w:rPr>
          <w:sz w:val="24"/>
          <w:szCs w:val="24"/>
          <w:u w:val="single"/>
        </w:rPr>
        <w:t>INTERNE</w:t>
      </w:r>
      <w:r>
        <w:rPr>
          <w:sz w:val="24"/>
          <w:szCs w:val="24"/>
        </w:rPr>
        <w:tab/>
      </w:r>
    </w:p>
    <w:p w:rsidR="00B82BD6" w:rsidRDefault="00B82BD6" w:rsidP="00D76527">
      <w:pPr>
        <w:pStyle w:val="Sansinterligne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8E53F6">
        <w:rPr>
          <w:sz w:val="24"/>
          <w:szCs w:val="24"/>
        </w:rPr>
        <w:t xml:space="preserve">our informer le personnel </w:t>
      </w:r>
      <w:r w:rsidRPr="008E53F6">
        <w:rPr>
          <w:sz w:val="24"/>
          <w:szCs w:val="24"/>
        </w:rPr>
        <w:tab/>
      </w:r>
      <w:r w:rsidRPr="008E53F6">
        <w:rPr>
          <w:sz w:val="24"/>
          <w:szCs w:val="24"/>
        </w:rPr>
        <w:tab/>
      </w:r>
      <w:r w:rsidRPr="008E53F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Pr="00B82BD6">
        <w:rPr>
          <w:b/>
          <w:sz w:val="32"/>
          <w:szCs w:val="24"/>
        </w:rPr>
        <w:t>note d’information</w:t>
      </w:r>
    </w:p>
    <w:p w:rsidR="00B82BD6" w:rsidRDefault="00B82BD6" w:rsidP="00D76527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Pour donner un ordre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53F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Pr="00B82BD6">
        <w:rPr>
          <w:b/>
          <w:sz w:val="32"/>
          <w:szCs w:val="24"/>
        </w:rPr>
        <w:t>note de service</w:t>
      </w:r>
    </w:p>
    <w:p w:rsidR="00B82BD6" w:rsidRDefault="00B82BD6" w:rsidP="00D76527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Pour rendre </w:t>
      </w:r>
      <w:r w:rsidR="00D76527">
        <w:rPr>
          <w:sz w:val="24"/>
          <w:szCs w:val="24"/>
        </w:rPr>
        <w:t>compte d’un travail</w:t>
      </w:r>
      <w:r w:rsidR="00D76527">
        <w:rPr>
          <w:sz w:val="24"/>
          <w:szCs w:val="24"/>
        </w:rPr>
        <w:tab/>
      </w:r>
      <w:r w:rsidRPr="008E53F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compte rendu</w:t>
      </w:r>
    </w:p>
    <w:p w:rsidR="00B82BD6" w:rsidRDefault="00B82BD6" w:rsidP="00D76527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Pour présenter une étude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53F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rapport</w:t>
      </w:r>
    </w:p>
    <w:p w:rsidR="00B82BD6" w:rsidRDefault="00B82BD6" w:rsidP="00D76527">
      <w:pPr>
        <w:pStyle w:val="Sansinterligne"/>
        <w:jc w:val="both"/>
      </w:pPr>
    </w:p>
    <w:p w:rsidR="00B82BD6" w:rsidRDefault="00B82BD6" w:rsidP="00D76527">
      <w:pPr>
        <w:pStyle w:val="Sansinterligne"/>
        <w:jc w:val="both"/>
        <w:rPr>
          <w:b/>
          <w:sz w:val="24"/>
          <w:u w:val="single"/>
        </w:rPr>
      </w:pPr>
      <w:r w:rsidRPr="00B82BD6">
        <w:rPr>
          <w:b/>
          <w:sz w:val="24"/>
          <w:u w:val="single"/>
        </w:rPr>
        <w:t>PRESENTATION D’UNE LETTRE</w:t>
      </w:r>
    </w:p>
    <w:p w:rsidR="00B82BD6" w:rsidRDefault="00B82BD6" w:rsidP="00D76527">
      <w:pPr>
        <w:pStyle w:val="Sansinterligne"/>
        <w:jc w:val="both"/>
        <w:rPr>
          <w:sz w:val="24"/>
        </w:rPr>
      </w:pPr>
      <w:r>
        <w:rPr>
          <w:sz w:val="24"/>
        </w:rPr>
        <w:t>Choisir plutôt une police Calibri ou Times New Roman en taille 12 voir 11.  Mais surtout se référer aux usages de votre entreprise.</w:t>
      </w:r>
    </w:p>
    <w:p w:rsidR="00D76527" w:rsidRDefault="00D76527" w:rsidP="00D76527">
      <w:pPr>
        <w:pStyle w:val="Sansinterligne"/>
        <w:jc w:val="both"/>
        <w:rPr>
          <w:sz w:val="24"/>
        </w:rPr>
      </w:pPr>
      <w:r>
        <w:rPr>
          <w:sz w:val="24"/>
        </w:rPr>
        <w:tab/>
      </w:r>
    </w:p>
    <w:p w:rsidR="00B82BD6" w:rsidRDefault="00B82BD6" w:rsidP="00B82BD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57ADE677" wp14:editId="456F471C">
            <wp:extent cx="3772838" cy="5277485"/>
            <wp:effectExtent l="0" t="0" r="0" b="0"/>
            <wp:docPr id="1" name="Image 1" descr="http://www.i-manuel.fr/SP_AD/SP_ADdocfic17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-manuel.fr/SP_AD/SP_ADdocfic17img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806" cy="529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A07" w:rsidRDefault="00795A07" w:rsidP="00795A07">
      <w:pPr>
        <w:rPr>
          <w:sz w:val="24"/>
        </w:rPr>
      </w:pPr>
    </w:p>
    <w:p w:rsidR="00AC682C" w:rsidRDefault="00AC682C" w:rsidP="00795A07">
      <w:pPr>
        <w:rPr>
          <w:sz w:val="24"/>
        </w:rPr>
      </w:pPr>
    </w:p>
    <w:p w:rsidR="00AC682C" w:rsidRDefault="00AC682C" w:rsidP="00795A07">
      <w:pPr>
        <w:rPr>
          <w:sz w:val="24"/>
        </w:rPr>
      </w:pPr>
    </w:p>
    <w:p w:rsidR="00AC682C" w:rsidRDefault="00AC682C" w:rsidP="00AC682C">
      <w:pPr>
        <w:pStyle w:val="Sansinterligne"/>
        <w:jc w:val="both"/>
        <w:rPr>
          <w:b/>
          <w:sz w:val="24"/>
          <w:u w:val="single"/>
        </w:rPr>
      </w:pPr>
      <w:r w:rsidRPr="00AC682C">
        <w:rPr>
          <w:b/>
          <w:sz w:val="24"/>
          <w:u w:val="single"/>
        </w:rPr>
        <w:t>LES NOTES</w:t>
      </w:r>
    </w:p>
    <w:p w:rsidR="00AC682C" w:rsidRPr="00AC682C" w:rsidRDefault="00AC682C" w:rsidP="00AC682C">
      <w:pPr>
        <w:pStyle w:val="Sansinterligne"/>
        <w:jc w:val="both"/>
        <w:rPr>
          <w:b/>
          <w:sz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C682C" w:rsidTr="00AC682C">
        <w:tc>
          <w:tcPr>
            <w:tcW w:w="3485" w:type="dxa"/>
            <w:shd w:val="clear" w:color="auto" w:fill="E7E6E6" w:themeFill="background2"/>
          </w:tcPr>
          <w:p w:rsidR="00AC682C" w:rsidRDefault="00AC682C" w:rsidP="00AC682C">
            <w:pPr>
              <w:pStyle w:val="Sansinterligne"/>
              <w:jc w:val="both"/>
              <w:rPr>
                <w:sz w:val="24"/>
              </w:rPr>
            </w:pPr>
          </w:p>
        </w:tc>
        <w:tc>
          <w:tcPr>
            <w:tcW w:w="3485" w:type="dxa"/>
          </w:tcPr>
          <w:p w:rsidR="00AC682C" w:rsidRPr="00AC682C" w:rsidRDefault="00AC682C" w:rsidP="00AC682C">
            <w:pPr>
              <w:pStyle w:val="Sansinterligne"/>
              <w:jc w:val="both"/>
              <w:rPr>
                <w:b/>
                <w:sz w:val="24"/>
              </w:rPr>
            </w:pPr>
            <w:r w:rsidRPr="00AC682C">
              <w:rPr>
                <w:b/>
                <w:sz w:val="24"/>
              </w:rPr>
              <w:t>Note de service</w:t>
            </w:r>
          </w:p>
        </w:tc>
        <w:tc>
          <w:tcPr>
            <w:tcW w:w="3486" w:type="dxa"/>
          </w:tcPr>
          <w:p w:rsidR="00AC682C" w:rsidRPr="00AC682C" w:rsidRDefault="00AC682C" w:rsidP="00AC682C">
            <w:pPr>
              <w:pStyle w:val="Sansinterligne"/>
              <w:jc w:val="both"/>
              <w:rPr>
                <w:b/>
                <w:sz w:val="24"/>
              </w:rPr>
            </w:pPr>
            <w:r w:rsidRPr="00AC682C">
              <w:rPr>
                <w:b/>
                <w:sz w:val="24"/>
              </w:rPr>
              <w:t>Note d’information</w:t>
            </w:r>
          </w:p>
        </w:tc>
      </w:tr>
      <w:tr w:rsidR="00AC682C" w:rsidTr="00AC682C">
        <w:tc>
          <w:tcPr>
            <w:tcW w:w="3485" w:type="dxa"/>
          </w:tcPr>
          <w:p w:rsidR="00AC682C" w:rsidRPr="00AC682C" w:rsidRDefault="00AC682C" w:rsidP="00AC682C">
            <w:pPr>
              <w:pStyle w:val="Sansinterligne"/>
              <w:jc w:val="both"/>
              <w:rPr>
                <w:b/>
                <w:sz w:val="24"/>
              </w:rPr>
            </w:pPr>
            <w:r w:rsidRPr="00AC682C">
              <w:rPr>
                <w:b/>
                <w:sz w:val="24"/>
              </w:rPr>
              <w:t>Définition</w:t>
            </w:r>
          </w:p>
        </w:tc>
        <w:tc>
          <w:tcPr>
            <w:tcW w:w="3485" w:type="dxa"/>
          </w:tcPr>
          <w:p w:rsidR="00AC682C" w:rsidRDefault="00AC682C" w:rsidP="00AC682C">
            <w:pPr>
              <w:pStyle w:val="Sansinterligne"/>
              <w:jc w:val="both"/>
              <w:rPr>
                <w:sz w:val="24"/>
              </w:rPr>
            </w:pPr>
            <w:r>
              <w:rPr>
                <w:sz w:val="24"/>
              </w:rPr>
              <w:t>Brève communication d’un ordre au sein d’un service ou d’un établissement</w:t>
            </w:r>
          </w:p>
        </w:tc>
        <w:tc>
          <w:tcPr>
            <w:tcW w:w="3486" w:type="dxa"/>
          </w:tcPr>
          <w:p w:rsidR="00AC682C" w:rsidRDefault="00AC682C" w:rsidP="00AC682C">
            <w:pPr>
              <w:pStyle w:val="Sansinterligne"/>
              <w:rPr>
                <w:sz w:val="24"/>
              </w:rPr>
            </w:pPr>
            <w:r>
              <w:rPr>
                <w:sz w:val="24"/>
              </w:rPr>
              <w:t>Communication d’une information au sein d’un service ou d’un établissement</w:t>
            </w:r>
          </w:p>
        </w:tc>
      </w:tr>
      <w:tr w:rsidR="00AC682C" w:rsidTr="00AC682C">
        <w:tc>
          <w:tcPr>
            <w:tcW w:w="3485" w:type="dxa"/>
          </w:tcPr>
          <w:p w:rsidR="00AC682C" w:rsidRPr="00AC682C" w:rsidRDefault="00AC682C" w:rsidP="00AC682C">
            <w:pPr>
              <w:pStyle w:val="Sansinterligne"/>
              <w:jc w:val="both"/>
              <w:rPr>
                <w:b/>
                <w:sz w:val="24"/>
              </w:rPr>
            </w:pPr>
            <w:r w:rsidRPr="00AC682C">
              <w:rPr>
                <w:b/>
                <w:sz w:val="24"/>
              </w:rPr>
              <w:t>Emetteur</w:t>
            </w:r>
          </w:p>
        </w:tc>
        <w:tc>
          <w:tcPr>
            <w:tcW w:w="3485" w:type="dxa"/>
          </w:tcPr>
          <w:p w:rsidR="00AC682C" w:rsidRDefault="00AC682C" w:rsidP="00AC682C">
            <w:pPr>
              <w:pStyle w:val="Sansinterligne"/>
              <w:jc w:val="both"/>
              <w:rPr>
                <w:sz w:val="24"/>
              </w:rPr>
            </w:pPr>
            <w:r>
              <w:rPr>
                <w:sz w:val="24"/>
              </w:rPr>
              <w:t>Supérieur hiérarchique</w:t>
            </w:r>
          </w:p>
        </w:tc>
        <w:tc>
          <w:tcPr>
            <w:tcW w:w="3486" w:type="dxa"/>
          </w:tcPr>
          <w:p w:rsidR="00AC682C" w:rsidRDefault="00AC682C" w:rsidP="00AC682C">
            <w:pPr>
              <w:pStyle w:val="Sansinterligne"/>
              <w:jc w:val="both"/>
              <w:rPr>
                <w:sz w:val="24"/>
              </w:rPr>
            </w:pPr>
            <w:r>
              <w:rPr>
                <w:sz w:val="24"/>
              </w:rPr>
              <w:t>Supérieur hiérarchique ou personne de même niveau hiérarchique</w:t>
            </w:r>
          </w:p>
        </w:tc>
      </w:tr>
      <w:tr w:rsidR="00AC682C" w:rsidTr="005426E4">
        <w:tc>
          <w:tcPr>
            <w:tcW w:w="3485" w:type="dxa"/>
          </w:tcPr>
          <w:p w:rsidR="00AC682C" w:rsidRPr="00AC682C" w:rsidRDefault="00AC682C" w:rsidP="00AC682C">
            <w:pPr>
              <w:pStyle w:val="Sansinterligne"/>
              <w:jc w:val="both"/>
              <w:rPr>
                <w:b/>
                <w:sz w:val="24"/>
              </w:rPr>
            </w:pPr>
            <w:r w:rsidRPr="00AC682C">
              <w:rPr>
                <w:b/>
                <w:sz w:val="24"/>
              </w:rPr>
              <w:t>Destinataire</w:t>
            </w:r>
          </w:p>
        </w:tc>
        <w:tc>
          <w:tcPr>
            <w:tcW w:w="6971" w:type="dxa"/>
            <w:gridSpan w:val="2"/>
          </w:tcPr>
          <w:p w:rsidR="00AC682C" w:rsidRDefault="00AC682C" w:rsidP="00AC682C">
            <w:pPr>
              <w:pStyle w:val="Sansinterligne"/>
              <w:jc w:val="both"/>
              <w:rPr>
                <w:sz w:val="24"/>
              </w:rPr>
            </w:pPr>
            <w:r>
              <w:rPr>
                <w:sz w:val="24"/>
              </w:rPr>
              <w:t>Une ou plusieurs personnes d’un même service ou d’une même catégorie professionnelle</w:t>
            </w:r>
          </w:p>
        </w:tc>
      </w:tr>
    </w:tbl>
    <w:p w:rsidR="00AC682C" w:rsidRPr="00AC682C" w:rsidRDefault="00AC682C" w:rsidP="00AC682C">
      <w:pPr>
        <w:pStyle w:val="Sansinterligne"/>
      </w:pPr>
    </w:p>
    <w:p w:rsidR="00AC682C" w:rsidRDefault="00AC682C" w:rsidP="00AC682C">
      <w:pPr>
        <w:pStyle w:val="Sansinterligne"/>
      </w:pPr>
      <w:r>
        <w:t>Le style est concis et impersonnel.</w:t>
      </w:r>
    </w:p>
    <w:p w:rsidR="00AC682C" w:rsidRDefault="00AC682C" w:rsidP="00AC682C">
      <w:pPr>
        <w:pStyle w:val="Sansinterligne"/>
      </w:pPr>
      <w:r>
        <w:t>Le ton est neutre, voir même ferme et impératif pour la note de service.</w:t>
      </w:r>
    </w:p>
    <w:p w:rsidR="00AC682C" w:rsidRDefault="00AC682C" w:rsidP="00AC682C">
      <w:pPr>
        <w:pStyle w:val="Sansinterligne"/>
      </w:pPr>
      <w:r>
        <w:t>Vocabulaire clair et précis.</w:t>
      </w:r>
    </w:p>
    <w:p w:rsidR="00AC682C" w:rsidRDefault="00AC682C" w:rsidP="00AC682C">
      <w:pPr>
        <w:pStyle w:val="Sansinterligne"/>
      </w:pPr>
    </w:p>
    <w:p w:rsidR="00AC682C" w:rsidRDefault="00AC682C" w:rsidP="00AC682C">
      <w:pPr>
        <w:pStyle w:val="Sansinterligne"/>
      </w:pPr>
      <w:r>
        <w:t xml:space="preserve">La publication des notes n’est pas normalisée, mais il existe des usages : </w:t>
      </w:r>
    </w:p>
    <w:p w:rsidR="00AC682C" w:rsidRDefault="00AC682C" w:rsidP="00AC682C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3118"/>
        <w:gridCol w:w="3657"/>
      </w:tblGrid>
      <w:tr w:rsidR="00AC682C" w:rsidRPr="00760AA4" w:rsidTr="00760AA4">
        <w:tc>
          <w:tcPr>
            <w:tcW w:w="3681" w:type="dxa"/>
          </w:tcPr>
          <w:p w:rsidR="00AC682C" w:rsidRPr="00760AA4" w:rsidRDefault="00AC682C" w:rsidP="00AC682C">
            <w:pPr>
              <w:pStyle w:val="Sansinterligne"/>
              <w:rPr>
                <w:b/>
                <w:sz w:val="24"/>
              </w:rPr>
            </w:pPr>
            <w:r w:rsidRPr="00760AA4">
              <w:rPr>
                <w:b/>
                <w:sz w:val="24"/>
              </w:rPr>
              <w:t>Les notes contiennent toujours ….</w:t>
            </w:r>
          </w:p>
        </w:tc>
        <w:tc>
          <w:tcPr>
            <w:tcW w:w="3118" w:type="dxa"/>
          </w:tcPr>
          <w:p w:rsidR="00AC682C" w:rsidRPr="00760AA4" w:rsidRDefault="00AC682C" w:rsidP="00AC682C">
            <w:pPr>
              <w:pStyle w:val="Sansinterligne"/>
              <w:rPr>
                <w:b/>
                <w:sz w:val="24"/>
              </w:rPr>
            </w:pPr>
            <w:r w:rsidRPr="00760AA4">
              <w:rPr>
                <w:b/>
                <w:sz w:val="24"/>
              </w:rPr>
              <w:t>Les notes contiennent éventuellement….</w:t>
            </w:r>
          </w:p>
        </w:tc>
        <w:tc>
          <w:tcPr>
            <w:tcW w:w="3657" w:type="dxa"/>
          </w:tcPr>
          <w:p w:rsidR="00AC682C" w:rsidRPr="00760AA4" w:rsidRDefault="00AC682C" w:rsidP="00AC682C">
            <w:pPr>
              <w:pStyle w:val="Sansinterligne"/>
              <w:rPr>
                <w:b/>
                <w:sz w:val="24"/>
              </w:rPr>
            </w:pPr>
            <w:r w:rsidRPr="00760AA4">
              <w:rPr>
                <w:b/>
                <w:sz w:val="24"/>
              </w:rPr>
              <w:t>Les notes ne contiennent pas …</w:t>
            </w:r>
          </w:p>
        </w:tc>
      </w:tr>
      <w:tr w:rsidR="00AC682C" w:rsidRPr="00760AA4" w:rsidTr="00760AA4">
        <w:tc>
          <w:tcPr>
            <w:tcW w:w="3681" w:type="dxa"/>
          </w:tcPr>
          <w:p w:rsidR="00AC682C" w:rsidRPr="00760AA4" w:rsidRDefault="00AC682C" w:rsidP="00AC682C">
            <w:pPr>
              <w:pStyle w:val="Sansinterligne"/>
              <w:rPr>
                <w:sz w:val="24"/>
              </w:rPr>
            </w:pPr>
            <w:r w:rsidRPr="00760AA4">
              <w:rPr>
                <w:sz w:val="24"/>
              </w:rPr>
              <w:t>- une entête réduite</w:t>
            </w:r>
          </w:p>
          <w:p w:rsidR="00AC682C" w:rsidRPr="00760AA4" w:rsidRDefault="00AC682C" w:rsidP="00AC682C">
            <w:pPr>
              <w:pStyle w:val="Sansinterligne"/>
              <w:rPr>
                <w:sz w:val="24"/>
              </w:rPr>
            </w:pPr>
            <w:r w:rsidRPr="00760AA4">
              <w:rPr>
                <w:sz w:val="24"/>
              </w:rPr>
              <w:t>- un titre, un objet (il peut être dans le titre)</w:t>
            </w:r>
          </w:p>
          <w:p w:rsidR="00AC682C" w:rsidRPr="00760AA4" w:rsidRDefault="00AC682C" w:rsidP="00AC682C">
            <w:pPr>
              <w:pStyle w:val="Sansinterligne"/>
              <w:rPr>
                <w:sz w:val="24"/>
              </w:rPr>
            </w:pPr>
            <w:r w:rsidRPr="00760AA4">
              <w:rPr>
                <w:sz w:val="24"/>
              </w:rPr>
              <w:t>- la date</w:t>
            </w:r>
          </w:p>
          <w:p w:rsidR="00AC682C" w:rsidRPr="00760AA4" w:rsidRDefault="00AC682C" w:rsidP="00AC682C">
            <w:pPr>
              <w:pStyle w:val="Sansinterligne"/>
              <w:rPr>
                <w:sz w:val="24"/>
              </w:rPr>
            </w:pPr>
            <w:r w:rsidRPr="00760AA4">
              <w:rPr>
                <w:sz w:val="24"/>
              </w:rPr>
              <w:t>- les destinataires</w:t>
            </w:r>
          </w:p>
          <w:p w:rsidR="00AC682C" w:rsidRPr="00760AA4" w:rsidRDefault="00AC682C" w:rsidP="007115B7">
            <w:pPr>
              <w:pStyle w:val="Sansinterligne"/>
              <w:rPr>
                <w:sz w:val="24"/>
              </w:rPr>
            </w:pPr>
            <w:r w:rsidRPr="00760AA4">
              <w:rPr>
                <w:sz w:val="24"/>
              </w:rPr>
              <w:t>- le nom, la qualité du signataire</w:t>
            </w:r>
            <w:r w:rsidR="007115B7" w:rsidRPr="00760AA4">
              <w:rPr>
                <w:sz w:val="24"/>
              </w:rPr>
              <w:t>, la signature</w:t>
            </w:r>
          </w:p>
        </w:tc>
        <w:tc>
          <w:tcPr>
            <w:tcW w:w="3118" w:type="dxa"/>
          </w:tcPr>
          <w:p w:rsidR="00AC682C" w:rsidRPr="00760AA4" w:rsidRDefault="007115B7" w:rsidP="00AC682C">
            <w:pPr>
              <w:pStyle w:val="Sansinterligne"/>
              <w:rPr>
                <w:sz w:val="24"/>
              </w:rPr>
            </w:pPr>
            <w:r w:rsidRPr="00760AA4">
              <w:rPr>
                <w:sz w:val="24"/>
              </w:rPr>
              <w:t xml:space="preserve">- un numéro </w:t>
            </w:r>
          </w:p>
          <w:p w:rsidR="007115B7" w:rsidRPr="00760AA4" w:rsidRDefault="007115B7" w:rsidP="00AC682C">
            <w:pPr>
              <w:pStyle w:val="Sansinterligne"/>
              <w:rPr>
                <w:sz w:val="24"/>
              </w:rPr>
            </w:pPr>
            <w:r w:rsidRPr="00760AA4">
              <w:rPr>
                <w:sz w:val="24"/>
              </w:rPr>
              <w:t>- la fonction des destinataires</w:t>
            </w:r>
          </w:p>
        </w:tc>
        <w:tc>
          <w:tcPr>
            <w:tcW w:w="3657" w:type="dxa"/>
          </w:tcPr>
          <w:p w:rsidR="00AC682C" w:rsidRPr="00760AA4" w:rsidRDefault="007115B7" w:rsidP="00AC682C">
            <w:pPr>
              <w:pStyle w:val="Sansinterligne"/>
              <w:rPr>
                <w:sz w:val="24"/>
              </w:rPr>
            </w:pPr>
            <w:r w:rsidRPr="00760AA4">
              <w:rPr>
                <w:sz w:val="24"/>
              </w:rPr>
              <w:t>- de titre de civilité</w:t>
            </w:r>
          </w:p>
          <w:p w:rsidR="007115B7" w:rsidRPr="00760AA4" w:rsidRDefault="007115B7" w:rsidP="00AC682C">
            <w:pPr>
              <w:pStyle w:val="Sansinterligne"/>
              <w:rPr>
                <w:sz w:val="24"/>
              </w:rPr>
            </w:pPr>
            <w:r w:rsidRPr="00760AA4">
              <w:rPr>
                <w:sz w:val="24"/>
              </w:rPr>
              <w:t>- de formule de politesse (ou alors de façon très abrégée)</w:t>
            </w:r>
          </w:p>
        </w:tc>
      </w:tr>
    </w:tbl>
    <w:p w:rsidR="00AC682C" w:rsidRDefault="00AC682C" w:rsidP="00AC682C">
      <w:pPr>
        <w:pStyle w:val="Sansinterligne"/>
      </w:pPr>
    </w:p>
    <w:p w:rsidR="007115B7" w:rsidRDefault="007115B7" w:rsidP="00AC682C">
      <w:pPr>
        <w:pStyle w:val="Sansinterligne"/>
        <w:rPr>
          <w:b/>
          <w:sz w:val="24"/>
          <w:u w:val="single"/>
        </w:rPr>
      </w:pPr>
      <w:r w:rsidRPr="00760AA4">
        <w:rPr>
          <w:sz w:val="24"/>
        </w:rPr>
        <w:t xml:space="preserve">Voir des exemples sur la </w:t>
      </w:r>
      <w:bookmarkStart w:id="0" w:name="_Hlk484958244"/>
      <w:r w:rsidRPr="00760AA4">
        <w:rPr>
          <w:b/>
          <w:sz w:val="24"/>
          <w:u w:val="single"/>
        </w:rPr>
        <w:t>FI – Notes et mémos</w:t>
      </w:r>
      <w:bookmarkEnd w:id="0"/>
    </w:p>
    <w:p w:rsidR="00751193" w:rsidRDefault="00751193" w:rsidP="00AC682C">
      <w:pPr>
        <w:pStyle w:val="Sansinterligne"/>
        <w:rPr>
          <w:b/>
          <w:sz w:val="24"/>
          <w:u w:val="single"/>
        </w:rPr>
      </w:pPr>
    </w:p>
    <w:p w:rsidR="00751193" w:rsidRDefault="00751193" w:rsidP="00AC682C">
      <w:pPr>
        <w:pStyle w:val="Sansinterligne"/>
        <w:rPr>
          <w:b/>
          <w:sz w:val="24"/>
          <w:u w:val="single"/>
        </w:rPr>
      </w:pPr>
    </w:p>
    <w:p w:rsidR="00751193" w:rsidRDefault="00751193" w:rsidP="00AC682C">
      <w:pPr>
        <w:pStyle w:val="Sansinterligne"/>
        <w:rPr>
          <w:sz w:val="24"/>
        </w:rPr>
      </w:pPr>
      <w:r>
        <w:rPr>
          <w:sz w:val="24"/>
        </w:rPr>
        <w:t xml:space="preserve">Selon les cas, la diffusion des notes se fait par : </w:t>
      </w:r>
    </w:p>
    <w:p w:rsidR="00751193" w:rsidRDefault="00751193" w:rsidP="00751193">
      <w:pPr>
        <w:pStyle w:val="Sansinterligne"/>
        <w:rPr>
          <w:sz w:val="24"/>
        </w:rPr>
      </w:pPr>
      <w:r w:rsidRPr="00751193">
        <w:rPr>
          <w:sz w:val="24"/>
        </w:rPr>
        <w:t>-</w:t>
      </w:r>
      <w:r>
        <w:rPr>
          <w:sz w:val="24"/>
        </w:rPr>
        <w:t xml:space="preserve"> affichage</w:t>
      </w:r>
    </w:p>
    <w:p w:rsidR="00751193" w:rsidRDefault="00751193" w:rsidP="00751193">
      <w:pPr>
        <w:pStyle w:val="Sansinterligne"/>
        <w:rPr>
          <w:sz w:val="24"/>
        </w:rPr>
      </w:pPr>
      <w:r>
        <w:rPr>
          <w:sz w:val="24"/>
        </w:rPr>
        <w:t xml:space="preserve">- distribution aux personnes concernées, </w:t>
      </w:r>
    </w:p>
    <w:p w:rsidR="00751193" w:rsidRPr="00751193" w:rsidRDefault="00751193" w:rsidP="00751193">
      <w:pPr>
        <w:pStyle w:val="Sansinterligne"/>
        <w:rPr>
          <w:sz w:val="24"/>
        </w:rPr>
      </w:pPr>
      <w:r>
        <w:rPr>
          <w:sz w:val="24"/>
        </w:rPr>
        <w:t>- circulation entre les personnes destinataires avec émargement</w:t>
      </w:r>
    </w:p>
    <w:p w:rsidR="007115B7" w:rsidRPr="00760AA4" w:rsidRDefault="007115B7" w:rsidP="00AC682C">
      <w:pPr>
        <w:pStyle w:val="Sansinterligne"/>
        <w:rPr>
          <w:sz w:val="24"/>
        </w:rPr>
      </w:pPr>
    </w:p>
    <w:p w:rsidR="007115B7" w:rsidRPr="00760AA4" w:rsidRDefault="007115B7" w:rsidP="00AC682C">
      <w:pPr>
        <w:pStyle w:val="Sansinterligne"/>
        <w:rPr>
          <w:sz w:val="24"/>
        </w:rPr>
      </w:pPr>
    </w:p>
    <w:p w:rsidR="007115B7" w:rsidRPr="00760AA4" w:rsidRDefault="007115B7" w:rsidP="00AC682C">
      <w:pPr>
        <w:pStyle w:val="Sansinterligne"/>
        <w:rPr>
          <w:sz w:val="24"/>
        </w:rPr>
      </w:pPr>
      <w:r w:rsidRPr="00760AA4">
        <w:rPr>
          <w:sz w:val="24"/>
        </w:rPr>
        <w:t xml:space="preserve">Que ce soit pour une lettre ou une note, les informations à mettre en avant (comme le lieu et la date d’un évènement, une offre promotionnelle, etc…) doivent ressortir du reste du texte. </w:t>
      </w:r>
    </w:p>
    <w:p w:rsidR="007115B7" w:rsidRDefault="007115B7" w:rsidP="00AC682C">
      <w:pPr>
        <w:pStyle w:val="Sansinterligne"/>
        <w:rPr>
          <w:sz w:val="24"/>
        </w:rPr>
      </w:pPr>
      <w:r w:rsidRPr="00760AA4">
        <w:rPr>
          <w:sz w:val="24"/>
        </w:rPr>
        <w:t xml:space="preserve">N’hésitez pas à utiliser la mise en </w:t>
      </w:r>
      <w:r w:rsidRPr="00760AA4">
        <w:rPr>
          <w:b/>
          <w:sz w:val="24"/>
        </w:rPr>
        <w:t>gras</w:t>
      </w:r>
      <w:r w:rsidRPr="00760AA4">
        <w:rPr>
          <w:sz w:val="24"/>
        </w:rPr>
        <w:t xml:space="preserve">, </w:t>
      </w:r>
      <w:r w:rsidRPr="00760AA4">
        <w:rPr>
          <w:sz w:val="24"/>
          <w:u w:val="single"/>
        </w:rPr>
        <w:t>souligné</w:t>
      </w:r>
      <w:r w:rsidRPr="00760AA4">
        <w:rPr>
          <w:sz w:val="24"/>
        </w:rPr>
        <w:t xml:space="preserve">, </w:t>
      </w:r>
      <w:r w:rsidRPr="00760AA4">
        <w:rPr>
          <w:i/>
          <w:sz w:val="24"/>
        </w:rPr>
        <w:t>italique</w:t>
      </w:r>
      <w:r w:rsidRPr="00760AA4">
        <w:rPr>
          <w:sz w:val="24"/>
        </w:rPr>
        <w:t xml:space="preserve">, </w:t>
      </w:r>
      <w:r w:rsidRPr="00760AA4">
        <w:rPr>
          <w:sz w:val="32"/>
        </w:rPr>
        <w:t>augmentation de la taille de la police</w:t>
      </w:r>
      <w:r w:rsidRPr="00760AA4">
        <w:rPr>
          <w:sz w:val="24"/>
        </w:rPr>
        <w:t xml:space="preserve">, </w:t>
      </w:r>
      <w:r w:rsidRPr="00760AA4">
        <w:rPr>
          <w:sz w:val="24"/>
          <w:bdr w:val="single" w:sz="4" w:space="0" w:color="auto"/>
        </w:rPr>
        <w:t>encadré</w:t>
      </w:r>
      <w:r w:rsidRPr="00760AA4">
        <w:rPr>
          <w:sz w:val="24"/>
        </w:rPr>
        <w:t xml:space="preserve">, </w:t>
      </w:r>
      <w:r w:rsidRPr="00760AA4">
        <w:rPr>
          <w:color w:val="FF0000"/>
          <w:sz w:val="24"/>
        </w:rPr>
        <w:t>couleur</w:t>
      </w:r>
      <w:r w:rsidRPr="00760AA4">
        <w:rPr>
          <w:sz w:val="24"/>
        </w:rPr>
        <w:t xml:space="preserve">, </w:t>
      </w:r>
      <w:r w:rsidR="00751193" w:rsidRPr="00751193">
        <w:rPr>
          <w:sz w:val="24"/>
          <w:highlight w:val="yellow"/>
        </w:rPr>
        <w:t>surlignage</w:t>
      </w:r>
      <w:r w:rsidR="00751193">
        <w:rPr>
          <w:sz w:val="24"/>
        </w:rPr>
        <w:t xml:space="preserve">, </w:t>
      </w:r>
      <w:r w:rsidRPr="00760AA4">
        <w:rPr>
          <w:sz w:val="24"/>
        </w:rPr>
        <w:t>etc…</w:t>
      </w:r>
    </w:p>
    <w:p w:rsidR="00751193" w:rsidRDefault="00751193" w:rsidP="00AC682C">
      <w:pPr>
        <w:pStyle w:val="Sansinterligne"/>
        <w:rPr>
          <w:sz w:val="24"/>
        </w:rPr>
      </w:pPr>
    </w:p>
    <w:p w:rsidR="00751193" w:rsidRDefault="00751193" w:rsidP="00AC682C">
      <w:pPr>
        <w:pStyle w:val="Sansinterligne"/>
        <w:rPr>
          <w:sz w:val="24"/>
        </w:rPr>
      </w:pPr>
    </w:p>
    <w:p w:rsidR="00751193" w:rsidRDefault="00751193" w:rsidP="00AC682C">
      <w:pPr>
        <w:pStyle w:val="Sansinterligne"/>
        <w:rPr>
          <w:sz w:val="24"/>
        </w:rPr>
      </w:pPr>
    </w:p>
    <w:p w:rsidR="00751193" w:rsidRPr="00751193" w:rsidRDefault="00751193" w:rsidP="00AC682C">
      <w:pPr>
        <w:pStyle w:val="Sansinterligne"/>
        <w:rPr>
          <w:sz w:val="24"/>
        </w:rPr>
      </w:pPr>
      <w:r>
        <w:rPr>
          <w:sz w:val="24"/>
        </w:rPr>
        <w:t xml:space="preserve">Lorsqu’une information doit être remontée à un supérieur hiérarchique, nous utiliserons plutôt un </w:t>
      </w:r>
      <w:r w:rsidRPr="00751193">
        <w:rPr>
          <w:b/>
          <w:sz w:val="28"/>
        </w:rPr>
        <w:t>mémo</w:t>
      </w:r>
      <w:r w:rsidRPr="00751193">
        <w:rPr>
          <w:sz w:val="28"/>
        </w:rPr>
        <w:t xml:space="preserve"> </w:t>
      </w:r>
      <w:r>
        <w:rPr>
          <w:sz w:val="24"/>
        </w:rPr>
        <w:t xml:space="preserve">(voir </w:t>
      </w:r>
      <w:r w:rsidRPr="00760AA4">
        <w:rPr>
          <w:b/>
          <w:sz w:val="24"/>
          <w:u w:val="single"/>
        </w:rPr>
        <w:t>FI – Notes et mémos</w:t>
      </w:r>
      <w:r>
        <w:rPr>
          <w:sz w:val="24"/>
        </w:rPr>
        <w:t>)</w:t>
      </w:r>
      <w:bookmarkStart w:id="1" w:name="_GoBack"/>
      <w:bookmarkEnd w:id="1"/>
    </w:p>
    <w:sectPr w:rsidR="00751193" w:rsidRPr="00751193" w:rsidSect="00D765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95D7A"/>
    <w:multiLevelType w:val="hybridMultilevel"/>
    <w:tmpl w:val="0364660E"/>
    <w:lvl w:ilvl="0" w:tplc="D5B87D2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D6"/>
    <w:rsid w:val="000E2699"/>
    <w:rsid w:val="007115B7"/>
    <w:rsid w:val="00751193"/>
    <w:rsid w:val="00760AA4"/>
    <w:rsid w:val="00795A07"/>
    <w:rsid w:val="00AC682C"/>
    <w:rsid w:val="00B82BD6"/>
    <w:rsid w:val="00D76527"/>
    <w:rsid w:val="00E6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652007"/>
  <w15:chartTrackingRefBased/>
  <w15:docId w15:val="{5A88A176-3E9C-4AF8-9254-2331E970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2BD6"/>
    <w:pPr>
      <w:ind w:left="720"/>
      <w:contextualSpacing/>
    </w:pPr>
  </w:style>
  <w:style w:type="paragraph" w:styleId="Sansinterligne">
    <w:name w:val="No Spacing"/>
    <w:uiPriority w:val="1"/>
    <w:qFormat/>
    <w:rsid w:val="00D76527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AC6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Magalie SAINT MARTIN</dc:creator>
  <cp:keywords/>
  <dc:description/>
  <cp:lastModifiedBy>Magalie SAINT MARTIN</cp:lastModifiedBy>
  <cp:revision>4</cp:revision>
  <dcterms:created xsi:type="dcterms:W3CDTF">2017-06-11T12:25:00Z</dcterms:created>
  <dcterms:modified xsi:type="dcterms:W3CDTF">2017-06-11T13:54:00Z</dcterms:modified>
</cp:coreProperties>
</file>