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A4" w:rsidRPr="00DA7938" w:rsidRDefault="00F010A4" w:rsidP="00F010A4">
      <w:pPr>
        <w:widowControl w:val="0"/>
        <w:autoSpaceDE w:val="0"/>
        <w:autoSpaceDN w:val="0"/>
        <w:adjustRightInd w:val="0"/>
        <w:spacing w:line="273" w:lineRule="atLeast"/>
        <w:jc w:val="both"/>
        <w:rPr>
          <w:rFonts w:ascii="Tahoma" w:hAnsi="Tahoma" w:cs="Tahoma"/>
        </w:rPr>
      </w:pPr>
      <w:bookmarkStart w:id="0" w:name="_GoBack"/>
      <w:bookmarkEnd w:id="0"/>
    </w:p>
    <w:p w:rsidR="00F010A4" w:rsidRPr="00DA7938" w:rsidRDefault="00F010A4" w:rsidP="00F010A4">
      <w:pPr>
        <w:widowControl w:val="0"/>
        <w:autoSpaceDE w:val="0"/>
        <w:autoSpaceDN w:val="0"/>
        <w:adjustRightInd w:val="0"/>
        <w:spacing w:line="249" w:lineRule="atLeast"/>
        <w:jc w:val="center"/>
        <w:rPr>
          <w:rFonts w:ascii="Tahoma" w:hAnsi="Tahoma" w:cs="Tahoma"/>
          <w:b/>
          <w:u w:val="single"/>
        </w:rPr>
      </w:pPr>
      <w:r w:rsidRPr="00DA7938">
        <w:rPr>
          <w:rFonts w:ascii="Tahoma" w:hAnsi="Tahoma" w:cs="Tahoma"/>
          <w:b/>
          <w:u w:val="single"/>
        </w:rPr>
        <w:t>ECHO-DOPPLER VEINEUX DES MEMBRES INFERIEURS</w:t>
      </w:r>
    </w:p>
    <w:p w:rsidR="00F010A4" w:rsidRPr="00DA7938" w:rsidRDefault="00F010A4" w:rsidP="00F010A4">
      <w:pPr>
        <w:widowControl w:val="0"/>
        <w:autoSpaceDE w:val="0"/>
        <w:autoSpaceDN w:val="0"/>
        <w:adjustRightInd w:val="0"/>
        <w:spacing w:line="249" w:lineRule="atLeast"/>
        <w:jc w:val="both"/>
        <w:rPr>
          <w:rFonts w:ascii="Tahoma" w:hAnsi="Tahoma" w:cs="Tahoma"/>
        </w:rPr>
      </w:pPr>
    </w:p>
    <w:p w:rsidR="00F010A4" w:rsidRPr="00DA7938" w:rsidRDefault="00F010A4" w:rsidP="00F010A4">
      <w:pPr>
        <w:widowControl w:val="0"/>
        <w:autoSpaceDE w:val="0"/>
        <w:autoSpaceDN w:val="0"/>
        <w:adjustRightInd w:val="0"/>
        <w:spacing w:line="297" w:lineRule="atLeast"/>
        <w:rPr>
          <w:rFonts w:ascii="Tahoma" w:hAnsi="Tahoma" w:cs="Tahoma"/>
          <w:iCs/>
          <w:u w:val="single"/>
        </w:rPr>
      </w:pPr>
      <w:r w:rsidRPr="00DA7938">
        <w:rPr>
          <w:rFonts w:ascii="Tahoma" w:hAnsi="Tahoma" w:cs="Tahoma"/>
          <w:iCs/>
          <w:u w:val="single"/>
        </w:rPr>
        <w:t>Indication</w:t>
      </w:r>
      <w:r w:rsidRPr="00DA7938">
        <w:rPr>
          <w:rFonts w:ascii="Tahoma" w:hAnsi="Tahoma" w:cs="Tahoma"/>
          <w:iCs/>
        </w:rPr>
        <w:t> :</w:t>
      </w:r>
      <w:r w:rsidRPr="00DA7938">
        <w:rPr>
          <w:rFonts w:ascii="Tahoma" w:hAnsi="Tahoma" w:cs="Tahoma"/>
          <w:i/>
          <w:iCs/>
        </w:rPr>
        <w:t xml:space="preserve"> </w:t>
      </w:r>
    </w:p>
    <w:p w:rsidR="00F010A4" w:rsidRPr="00DA7938" w:rsidRDefault="00F010A4" w:rsidP="00F010A4">
      <w:pPr>
        <w:widowControl w:val="0"/>
        <w:autoSpaceDE w:val="0"/>
        <w:autoSpaceDN w:val="0"/>
        <w:adjustRightInd w:val="0"/>
        <w:spacing w:line="297" w:lineRule="atLeast"/>
        <w:rPr>
          <w:rFonts w:ascii="Tahoma" w:hAnsi="Tahoma" w:cs="Tahoma"/>
        </w:rPr>
      </w:pPr>
      <w:r w:rsidRPr="00DA7938">
        <w:rPr>
          <w:rFonts w:ascii="Tahoma" w:hAnsi="Tahoma" w:cs="Tahoma"/>
        </w:rPr>
        <w:t xml:space="preserve">Douleur aigue du creux poplité droit. Recherche de thrombose veineuse. </w:t>
      </w:r>
    </w:p>
    <w:p w:rsidR="00F010A4" w:rsidRPr="00DA7938" w:rsidRDefault="00F010A4" w:rsidP="00F010A4">
      <w:pPr>
        <w:widowControl w:val="0"/>
        <w:autoSpaceDE w:val="0"/>
        <w:autoSpaceDN w:val="0"/>
        <w:adjustRightInd w:val="0"/>
        <w:spacing w:line="297" w:lineRule="atLeast"/>
        <w:rPr>
          <w:rFonts w:ascii="Tahoma" w:hAnsi="Tahoma" w:cs="Tahoma"/>
        </w:rPr>
      </w:pPr>
    </w:p>
    <w:p w:rsidR="00F010A4" w:rsidRPr="00DA7938" w:rsidRDefault="00F010A4" w:rsidP="00F010A4">
      <w:pPr>
        <w:widowControl w:val="0"/>
        <w:autoSpaceDE w:val="0"/>
        <w:autoSpaceDN w:val="0"/>
        <w:adjustRightInd w:val="0"/>
        <w:spacing w:line="302" w:lineRule="atLeast"/>
        <w:ind w:firstLine="48"/>
        <w:rPr>
          <w:rFonts w:ascii="Tahoma" w:hAnsi="Tahoma" w:cs="Tahoma"/>
          <w:i/>
          <w:iCs/>
        </w:rPr>
      </w:pPr>
      <w:r w:rsidRPr="00DA7938">
        <w:rPr>
          <w:rFonts w:ascii="Tahoma" w:hAnsi="Tahoma" w:cs="Tahoma"/>
          <w:iCs/>
          <w:u w:val="single"/>
        </w:rPr>
        <w:t>Résultat</w:t>
      </w:r>
      <w:r w:rsidRPr="00DA7938">
        <w:rPr>
          <w:rFonts w:ascii="Tahoma" w:hAnsi="Tahoma" w:cs="Tahoma"/>
          <w:iCs/>
        </w:rPr>
        <w:t xml:space="preserve"> : </w:t>
      </w:r>
    </w:p>
    <w:p w:rsidR="00F010A4" w:rsidRPr="00DA7938" w:rsidRDefault="00F010A4" w:rsidP="00F010A4">
      <w:pPr>
        <w:widowControl w:val="0"/>
        <w:autoSpaceDE w:val="0"/>
        <w:autoSpaceDN w:val="0"/>
        <w:adjustRightInd w:val="0"/>
        <w:spacing w:line="302" w:lineRule="atLeast"/>
        <w:ind w:firstLine="48"/>
        <w:rPr>
          <w:rFonts w:ascii="Tahoma" w:hAnsi="Tahoma" w:cs="Tahoma"/>
          <w:iCs/>
        </w:rPr>
      </w:pPr>
    </w:p>
    <w:p w:rsidR="00F010A4" w:rsidRPr="00DA7938" w:rsidRDefault="00F010A4" w:rsidP="00F010A4">
      <w:pPr>
        <w:widowControl w:val="0"/>
        <w:autoSpaceDE w:val="0"/>
        <w:autoSpaceDN w:val="0"/>
        <w:adjustRightInd w:val="0"/>
        <w:spacing w:line="302" w:lineRule="atLeast"/>
        <w:rPr>
          <w:rFonts w:ascii="Tahoma" w:hAnsi="Tahoma" w:cs="Tahoma"/>
        </w:rPr>
      </w:pPr>
      <w:r w:rsidRPr="00E4751A">
        <w:rPr>
          <w:rFonts w:ascii="Tahoma" w:hAnsi="Tahoma" w:cs="Tahoma"/>
        </w:rPr>
        <w:t>A droite</w:t>
      </w:r>
      <w:r w:rsidRPr="00DA7938">
        <w:rPr>
          <w:rFonts w:ascii="Tahoma" w:hAnsi="Tahoma" w:cs="Tahoma"/>
        </w:rPr>
        <w:t xml:space="preserve"> : </w:t>
      </w:r>
    </w:p>
    <w:p w:rsidR="00F010A4" w:rsidRPr="00DA7938" w:rsidRDefault="00F010A4" w:rsidP="00F010A4">
      <w:pPr>
        <w:widowControl w:val="0"/>
        <w:autoSpaceDE w:val="0"/>
        <w:autoSpaceDN w:val="0"/>
        <w:adjustRightInd w:val="0"/>
        <w:spacing w:line="302" w:lineRule="atLeast"/>
        <w:jc w:val="both"/>
        <w:rPr>
          <w:rFonts w:ascii="Tahoma" w:hAnsi="Tahoma" w:cs="Tahoma"/>
        </w:rPr>
      </w:pPr>
      <w:r w:rsidRPr="00DA7938">
        <w:rPr>
          <w:rFonts w:ascii="Tahoma" w:hAnsi="Tahoma" w:cs="Tahoma"/>
        </w:rPr>
        <w:t>Thrombose veineuse profonde récente de deux veines jumelles internes et du tronc des jumelles au tiers supérieur du mollet.</w:t>
      </w:r>
    </w:p>
    <w:p w:rsidR="00F010A4" w:rsidRPr="00DA7938" w:rsidRDefault="00F010A4" w:rsidP="00F010A4">
      <w:pPr>
        <w:widowControl w:val="0"/>
        <w:autoSpaceDE w:val="0"/>
        <w:autoSpaceDN w:val="0"/>
        <w:adjustRightInd w:val="0"/>
        <w:spacing w:line="302" w:lineRule="atLeast"/>
        <w:jc w:val="both"/>
        <w:rPr>
          <w:rFonts w:ascii="Tahoma" w:hAnsi="Tahoma" w:cs="Tahoma"/>
        </w:rPr>
      </w:pPr>
      <w:r w:rsidRPr="00DA7938">
        <w:rPr>
          <w:rFonts w:ascii="Tahoma" w:hAnsi="Tahoma" w:cs="Tahoma"/>
        </w:rPr>
        <w:t>Ces veines sont dilatées (</w:t>
      </w:r>
      <w:smartTag w:uri="urn:schemas-microsoft-com:office:smarttags" w:element="metricconverter">
        <w:smartTagPr>
          <w:attr w:name="ProductID" w:val="8 mm"/>
        </w:smartTagPr>
        <w:r w:rsidRPr="00DA7938">
          <w:rPr>
            <w:rFonts w:ascii="Tahoma" w:hAnsi="Tahoma" w:cs="Tahoma"/>
          </w:rPr>
          <w:t>8 mm</w:t>
        </w:r>
      </w:smartTag>
      <w:r w:rsidRPr="00DA7938">
        <w:rPr>
          <w:rFonts w:ascii="Tahoma" w:hAnsi="Tahoma" w:cs="Tahoma"/>
        </w:rPr>
        <w:t xml:space="preserve"> en compression), incompressibles, sans flux retrouvé au doppler pulsé et couleur, avec un matériel thrombotique </w:t>
      </w:r>
      <w:proofErr w:type="spellStart"/>
      <w:r w:rsidRPr="00DA7938">
        <w:rPr>
          <w:rFonts w:ascii="Tahoma" w:hAnsi="Tahoma" w:cs="Tahoma"/>
        </w:rPr>
        <w:t>endoluminal</w:t>
      </w:r>
      <w:proofErr w:type="spellEnd"/>
      <w:r w:rsidRPr="00DA7938">
        <w:rPr>
          <w:rFonts w:ascii="Tahoma" w:hAnsi="Tahoma" w:cs="Tahoma"/>
        </w:rPr>
        <w:t xml:space="preserve"> peu </w:t>
      </w:r>
      <w:proofErr w:type="spellStart"/>
      <w:r w:rsidRPr="00DA7938">
        <w:rPr>
          <w:rFonts w:ascii="Tahoma" w:hAnsi="Tahoma" w:cs="Tahoma"/>
        </w:rPr>
        <w:t>échogène</w:t>
      </w:r>
      <w:proofErr w:type="spellEnd"/>
      <w:r w:rsidRPr="00DA7938">
        <w:rPr>
          <w:rFonts w:ascii="Tahoma" w:hAnsi="Tahoma" w:cs="Tahoma"/>
        </w:rPr>
        <w:t xml:space="preserve">. </w:t>
      </w:r>
    </w:p>
    <w:p w:rsidR="00F010A4" w:rsidRPr="00DA7938" w:rsidRDefault="00F010A4" w:rsidP="00F010A4">
      <w:pPr>
        <w:widowControl w:val="0"/>
        <w:tabs>
          <w:tab w:val="left" w:pos="590"/>
        </w:tabs>
        <w:autoSpaceDE w:val="0"/>
        <w:autoSpaceDN w:val="0"/>
        <w:adjustRightInd w:val="0"/>
        <w:spacing w:line="302" w:lineRule="atLeast"/>
        <w:jc w:val="both"/>
        <w:rPr>
          <w:rFonts w:ascii="Tahoma" w:hAnsi="Tahoma" w:cs="Tahoma"/>
        </w:rPr>
      </w:pPr>
      <w:r w:rsidRPr="00DA7938">
        <w:rPr>
          <w:rFonts w:ascii="Tahoma" w:hAnsi="Tahoma" w:cs="Tahoma"/>
        </w:rPr>
        <w:t>La tête du thrombus est située dans le tronc des jumelles et para</w:t>
      </w:r>
      <w:r w:rsidR="00E4751A">
        <w:rPr>
          <w:rFonts w:ascii="Tahoma" w:hAnsi="Tahoma" w:cs="Tahoma"/>
        </w:rPr>
        <w:t>î</w:t>
      </w:r>
      <w:r w:rsidRPr="00DA7938">
        <w:rPr>
          <w:rFonts w:ascii="Tahoma" w:hAnsi="Tahoma" w:cs="Tahoma"/>
        </w:rPr>
        <w:t xml:space="preserve">t plutôt mobile. </w:t>
      </w:r>
    </w:p>
    <w:p w:rsidR="00F010A4" w:rsidRPr="00DA7938" w:rsidRDefault="00F010A4" w:rsidP="00F010A4">
      <w:pPr>
        <w:widowControl w:val="0"/>
        <w:autoSpaceDE w:val="0"/>
        <w:autoSpaceDN w:val="0"/>
        <w:adjustRightInd w:val="0"/>
        <w:spacing w:line="302" w:lineRule="atLeast"/>
        <w:jc w:val="both"/>
        <w:rPr>
          <w:rFonts w:ascii="Tahoma" w:hAnsi="Tahoma" w:cs="Tahoma"/>
        </w:rPr>
      </w:pPr>
      <w:r w:rsidRPr="00DA7938">
        <w:rPr>
          <w:rFonts w:ascii="Tahoma" w:hAnsi="Tahoma" w:cs="Tahoma"/>
        </w:rPr>
        <w:t xml:space="preserve">Les autres veines surales, tibiales postérieures, soléaires et péronières sont bien libres, perméables et </w:t>
      </w:r>
      <w:proofErr w:type="spellStart"/>
      <w:r w:rsidRPr="00DA7938">
        <w:rPr>
          <w:rFonts w:ascii="Tahoma" w:hAnsi="Tahoma" w:cs="Tahoma"/>
        </w:rPr>
        <w:t>dépressibles</w:t>
      </w:r>
      <w:proofErr w:type="spellEnd"/>
      <w:r w:rsidRPr="00DA7938">
        <w:rPr>
          <w:rFonts w:ascii="Tahoma" w:hAnsi="Tahoma" w:cs="Tahoma"/>
        </w:rPr>
        <w:t xml:space="preserve">, sans thrombus </w:t>
      </w:r>
      <w:proofErr w:type="spellStart"/>
      <w:r w:rsidRPr="00DA7938">
        <w:rPr>
          <w:rFonts w:ascii="Tahoma" w:hAnsi="Tahoma" w:cs="Tahoma"/>
        </w:rPr>
        <w:t>endoluminal</w:t>
      </w:r>
      <w:proofErr w:type="spellEnd"/>
      <w:r w:rsidRPr="00DA7938">
        <w:rPr>
          <w:rFonts w:ascii="Tahoma" w:hAnsi="Tahoma" w:cs="Tahoma"/>
        </w:rPr>
        <w:t xml:space="preserve"> visible. </w:t>
      </w:r>
    </w:p>
    <w:p w:rsidR="00F010A4" w:rsidRPr="00DA7938" w:rsidRDefault="00F010A4" w:rsidP="00F010A4">
      <w:pPr>
        <w:widowControl w:val="0"/>
        <w:autoSpaceDE w:val="0"/>
        <w:autoSpaceDN w:val="0"/>
        <w:adjustRightInd w:val="0"/>
        <w:spacing w:line="302" w:lineRule="atLeast"/>
        <w:ind w:firstLine="590"/>
        <w:rPr>
          <w:rFonts w:ascii="Tahoma" w:hAnsi="Tahoma" w:cs="Tahoma"/>
        </w:rPr>
      </w:pPr>
    </w:p>
    <w:p w:rsidR="00F010A4" w:rsidRPr="00E4751A" w:rsidRDefault="00F010A4" w:rsidP="00F010A4">
      <w:pPr>
        <w:widowControl w:val="0"/>
        <w:autoSpaceDE w:val="0"/>
        <w:autoSpaceDN w:val="0"/>
        <w:adjustRightInd w:val="0"/>
        <w:spacing w:line="278" w:lineRule="atLeast"/>
        <w:jc w:val="both"/>
        <w:rPr>
          <w:rFonts w:ascii="Tahoma" w:hAnsi="Tahoma" w:cs="Tahoma"/>
          <w:i/>
          <w:iCs/>
        </w:rPr>
      </w:pPr>
      <w:r w:rsidRPr="00DA7938">
        <w:rPr>
          <w:rFonts w:ascii="Tahoma" w:hAnsi="Tahoma" w:cs="Tahoma"/>
        </w:rPr>
        <w:t xml:space="preserve">La veine cave inférieure, les veines iliaques primitives et externes, fémorales communes et superficielles, poplitées droites et gauches sont libres, perméables, totalement </w:t>
      </w:r>
      <w:proofErr w:type="spellStart"/>
      <w:r w:rsidRPr="00DA7938">
        <w:rPr>
          <w:rFonts w:ascii="Tahoma" w:hAnsi="Tahoma" w:cs="Tahoma"/>
        </w:rPr>
        <w:t>dépressibles</w:t>
      </w:r>
      <w:proofErr w:type="spellEnd"/>
      <w:r w:rsidRPr="00DA7938">
        <w:rPr>
          <w:rFonts w:ascii="Tahoma" w:hAnsi="Tahoma" w:cs="Tahoma"/>
        </w:rPr>
        <w:t xml:space="preserve"> sous la sonde d'échographie, sans thrombus </w:t>
      </w:r>
      <w:proofErr w:type="spellStart"/>
      <w:r w:rsidRPr="00DA7938">
        <w:rPr>
          <w:rFonts w:ascii="Tahoma" w:hAnsi="Tahoma" w:cs="Tahoma"/>
        </w:rPr>
        <w:t>endoluminal</w:t>
      </w:r>
      <w:proofErr w:type="spellEnd"/>
      <w:r w:rsidRPr="00DA7938">
        <w:rPr>
          <w:rFonts w:ascii="Tahoma" w:hAnsi="Tahoma" w:cs="Tahoma"/>
        </w:rPr>
        <w:t xml:space="preserve"> visible, avec d'excellents flux </w:t>
      </w:r>
      <w:r w:rsidRPr="00E4751A">
        <w:rPr>
          <w:rFonts w:ascii="Tahoma" w:hAnsi="Tahoma" w:cs="Tahoma"/>
        </w:rPr>
        <w:t xml:space="preserve">doppler pulsé et couleur, bien modulés par la respiration et de bonne amplitude, sans image directe, ni indirecte de thrombose veineuse profonde récente ni ancienne. </w:t>
      </w:r>
    </w:p>
    <w:p w:rsidR="00F010A4" w:rsidRPr="00E4751A" w:rsidRDefault="00F010A4" w:rsidP="00F010A4">
      <w:pPr>
        <w:widowControl w:val="0"/>
        <w:autoSpaceDE w:val="0"/>
        <w:autoSpaceDN w:val="0"/>
        <w:adjustRightInd w:val="0"/>
        <w:spacing w:line="278" w:lineRule="atLeast"/>
        <w:rPr>
          <w:rFonts w:ascii="Tahoma" w:hAnsi="Tahoma" w:cs="Tahoma"/>
        </w:rPr>
      </w:pPr>
    </w:p>
    <w:p w:rsidR="00F010A4" w:rsidRPr="00DA7938" w:rsidRDefault="00F010A4" w:rsidP="00F010A4">
      <w:pPr>
        <w:widowControl w:val="0"/>
        <w:autoSpaceDE w:val="0"/>
        <w:autoSpaceDN w:val="0"/>
        <w:adjustRightInd w:val="0"/>
        <w:spacing w:line="278" w:lineRule="atLeast"/>
        <w:jc w:val="both"/>
        <w:rPr>
          <w:rFonts w:ascii="Tahoma" w:hAnsi="Tahoma" w:cs="Tahoma"/>
        </w:rPr>
      </w:pPr>
      <w:r w:rsidRPr="00E4751A">
        <w:rPr>
          <w:rFonts w:ascii="Tahoma" w:hAnsi="Tahoma" w:cs="Tahoma"/>
        </w:rPr>
        <w:t xml:space="preserve">Au niveau sural gauche, les veines tibiales antérieures et postérieures, péronières, jumelles, soléaires et les veines du tronc </w:t>
      </w:r>
      <w:proofErr w:type="spellStart"/>
      <w:r w:rsidRPr="00E4751A">
        <w:rPr>
          <w:rFonts w:ascii="Tahoma" w:hAnsi="Tahoma" w:cs="Tahoma"/>
        </w:rPr>
        <w:t>tibio</w:t>
      </w:r>
      <w:proofErr w:type="spellEnd"/>
      <w:r w:rsidRPr="00E4751A">
        <w:rPr>
          <w:rFonts w:ascii="Tahoma" w:hAnsi="Tahoma" w:cs="Tahoma"/>
        </w:rPr>
        <w:t xml:space="preserve"> péronier gauches, sont libres, perméables, totalement</w:t>
      </w:r>
      <w:r w:rsidRPr="00DA7938">
        <w:rPr>
          <w:rFonts w:ascii="Tahoma" w:hAnsi="Tahoma" w:cs="Tahoma"/>
        </w:rPr>
        <w:t xml:space="preserve"> </w:t>
      </w:r>
      <w:proofErr w:type="spellStart"/>
      <w:r w:rsidRPr="00DA7938">
        <w:rPr>
          <w:rFonts w:ascii="Tahoma" w:hAnsi="Tahoma" w:cs="Tahoma"/>
        </w:rPr>
        <w:t>dépressibles</w:t>
      </w:r>
      <w:proofErr w:type="spellEnd"/>
      <w:r w:rsidRPr="00DA7938">
        <w:rPr>
          <w:rFonts w:ascii="Tahoma" w:hAnsi="Tahoma" w:cs="Tahoma"/>
        </w:rPr>
        <w:t xml:space="preserve">, sans thrombus </w:t>
      </w:r>
      <w:proofErr w:type="spellStart"/>
      <w:r w:rsidRPr="00DA7938">
        <w:rPr>
          <w:rFonts w:ascii="Tahoma" w:hAnsi="Tahoma" w:cs="Tahoma"/>
        </w:rPr>
        <w:t>endoluminal</w:t>
      </w:r>
      <w:proofErr w:type="spellEnd"/>
      <w:r w:rsidRPr="00DA7938">
        <w:rPr>
          <w:rFonts w:ascii="Tahoma" w:hAnsi="Tahoma" w:cs="Tahoma"/>
        </w:rPr>
        <w:t xml:space="preserve">, avec des flux de remplissage normaux en doppler couleur, sans image </w:t>
      </w:r>
      <w:proofErr w:type="spellStart"/>
      <w:r w:rsidRPr="00DA7938">
        <w:rPr>
          <w:rFonts w:ascii="Tahoma" w:hAnsi="Tahoma" w:cs="Tahoma"/>
        </w:rPr>
        <w:t>séquellaire</w:t>
      </w:r>
      <w:proofErr w:type="spellEnd"/>
      <w:r w:rsidRPr="00DA7938">
        <w:rPr>
          <w:rFonts w:ascii="Tahoma" w:hAnsi="Tahoma" w:cs="Tahoma"/>
        </w:rPr>
        <w:t xml:space="preserve">. </w:t>
      </w:r>
    </w:p>
    <w:p w:rsidR="00F010A4" w:rsidRPr="00DA7938" w:rsidRDefault="00F010A4" w:rsidP="00F010A4">
      <w:pPr>
        <w:widowControl w:val="0"/>
        <w:tabs>
          <w:tab w:val="left" w:pos="576"/>
        </w:tabs>
        <w:autoSpaceDE w:val="0"/>
        <w:autoSpaceDN w:val="0"/>
        <w:adjustRightInd w:val="0"/>
        <w:spacing w:line="302" w:lineRule="atLeast"/>
        <w:jc w:val="both"/>
        <w:rPr>
          <w:rFonts w:ascii="Tahoma" w:hAnsi="Tahoma" w:cs="Tahoma"/>
          <w:i/>
          <w:iCs/>
        </w:rPr>
      </w:pPr>
    </w:p>
    <w:p w:rsidR="00F010A4" w:rsidRPr="00DA7938" w:rsidRDefault="00F010A4" w:rsidP="00F010A4">
      <w:pPr>
        <w:widowControl w:val="0"/>
        <w:tabs>
          <w:tab w:val="left" w:pos="576"/>
        </w:tabs>
        <w:autoSpaceDE w:val="0"/>
        <w:autoSpaceDN w:val="0"/>
        <w:adjustRightInd w:val="0"/>
        <w:spacing w:line="302" w:lineRule="atLeast"/>
        <w:jc w:val="both"/>
        <w:rPr>
          <w:rFonts w:ascii="Tahoma" w:hAnsi="Tahoma" w:cs="Tahoma"/>
          <w:iCs/>
        </w:rPr>
      </w:pPr>
      <w:r w:rsidRPr="00DA7938">
        <w:rPr>
          <w:rFonts w:ascii="Tahoma" w:hAnsi="Tahoma" w:cs="Tahoma"/>
          <w:iCs/>
          <w:u w:val="single"/>
        </w:rPr>
        <w:t>Conclusion</w:t>
      </w:r>
      <w:r w:rsidRPr="00DA7938">
        <w:rPr>
          <w:rFonts w:ascii="Tahoma" w:hAnsi="Tahoma" w:cs="Tahoma"/>
          <w:iCs/>
        </w:rPr>
        <w:t xml:space="preserve"> : </w:t>
      </w:r>
    </w:p>
    <w:p w:rsidR="00F010A4" w:rsidRPr="00DA7938" w:rsidRDefault="00F010A4" w:rsidP="00F010A4">
      <w:pPr>
        <w:widowControl w:val="0"/>
        <w:tabs>
          <w:tab w:val="left" w:pos="576"/>
        </w:tabs>
        <w:autoSpaceDE w:val="0"/>
        <w:autoSpaceDN w:val="0"/>
        <w:adjustRightInd w:val="0"/>
        <w:spacing w:line="302" w:lineRule="atLeast"/>
        <w:jc w:val="both"/>
        <w:rPr>
          <w:rFonts w:ascii="Tahoma" w:hAnsi="Tahoma" w:cs="Tahoma"/>
        </w:rPr>
      </w:pPr>
      <w:r w:rsidRPr="00DA7938">
        <w:rPr>
          <w:rFonts w:ascii="Tahoma" w:hAnsi="Tahoma" w:cs="Tahoma"/>
        </w:rPr>
        <w:t>Thrombose veineuse profonde récente de deux veines jumelles internes droites étendue au tronc des jumelles.</w:t>
      </w:r>
      <w:r w:rsidRPr="00DA7938">
        <w:rPr>
          <w:rFonts w:ascii="Tahoma" w:hAnsi="Tahoma" w:cs="Tahoma"/>
          <w:i/>
          <w:iCs/>
        </w:rPr>
        <w:t xml:space="preserve"> </w:t>
      </w:r>
    </w:p>
    <w:p w:rsidR="00F010A4" w:rsidRPr="00DA7938" w:rsidRDefault="00F010A4" w:rsidP="00F010A4">
      <w:pPr>
        <w:widowControl w:val="0"/>
        <w:tabs>
          <w:tab w:val="left" w:pos="576"/>
        </w:tabs>
        <w:autoSpaceDE w:val="0"/>
        <w:autoSpaceDN w:val="0"/>
        <w:adjustRightInd w:val="0"/>
        <w:spacing w:line="302" w:lineRule="atLeast"/>
        <w:jc w:val="both"/>
        <w:rPr>
          <w:rFonts w:ascii="Tahoma" w:hAnsi="Tahoma" w:cs="Tahoma"/>
        </w:rPr>
      </w:pPr>
      <w:r w:rsidRPr="00DA7938">
        <w:rPr>
          <w:rFonts w:ascii="Tahoma" w:hAnsi="Tahoma" w:cs="Tahoma"/>
        </w:rPr>
        <w:t xml:space="preserve">Traitement par </w:t>
      </w:r>
      <w:r>
        <w:rPr>
          <w:rFonts w:ascii="Tahoma" w:hAnsi="Tahoma" w:cs="Tahoma"/>
        </w:rPr>
        <w:t>INNOHEP</w:t>
      </w:r>
      <w:r w:rsidRPr="00DA7938">
        <w:rPr>
          <w:rFonts w:ascii="Tahoma" w:hAnsi="Tahoma" w:cs="Tahoma"/>
        </w:rPr>
        <w:t xml:space="preserve"> à dose curative (0,9 ml 1 fois par jour)</w:t>
      </w:r>
    </w:p>
    <w:p w:rsidR="00F010A4" w:rsidRPr="00DA7938" w:rsidRDefault="00F010A4" w:rsidP="00F010A4">
      <w:pPr>
        <w:widowControl w:val="0"/>
        <w:autoSpaceDE w:val="0"/>
        <w:autoSpaceDN w:val="0"/>
        <w:adjustRightInd w:val="0"/>
        <w:spacing w:line="302" w:lineRule="atLeast"/>
        <w:rPr>
          <w:rFonts w:ascii="Tahoma" w:hAnsi="Tahoma" w:cs="Tahoma"/>
        </w:rPr>
      </w:pPr>
      <w:r w:rsidRPr="00DA7938">
        <w:rPr>
          <w:rFonts w:ascii="Tahoma" w:hAnsi="Tahoma" w:cs="Tahoma"/>
        </w:rPr>
        <w:t>(</w:t>
      </w:r>
      <w:proofErr w:type="gramStart"/>
      <w:r w:rsidRPr="00DA7938">
        <w:rPr>
          <w:rFonts w:ascii="Tahoma" w:hAnsi="Tahoma" w:cs="Tahoma"/>
        </w:rPr>
        <w:t>surveillance</w:t>
      </w:r>
      <w:proofErr w:type="gramEnd"/>
      <w:r w:rsidRPr="00DA7938">
        <w:rPr>
          <w:rFonts w:ascii="Tahoma" w:hAnsi="Tahoma" w:cs="Tahoma"/>
        </w:rPr>
        <w:t xml:space="preserve"> de la numération plaquettaire).</w:t>
      </w:r>
      <w:r w:rsidRPr="00DA7938">
        <w:rPr>
          <w:rFonts w:ascii="Tahoma" w:hAnsi="Tahoma" w:cs="Tahoma"/>
          <w:i/>
          <w:iCs/>
        </w:rPr>
        <w:t xml:space="preserve"> </w:t>
      </w:r>
    </w:p>
    <w:p w:rsidR="00F010A4" w:rsidRPr="00DA7938" w:rsidRDefault="00F010A4" w:rsidP="00F010A4">
      <w:pPr>
        <w:widowControl w:val="0"/>
        <w:tabs>
          <w:tab w:val="left" w:pos="8404"/>
        </w:tabs>
        <w:autoSpaceDE w:val="0"/>
        <w:autoSpaceDN w:val="0"/>
        <w:adjustRightInd w:val="0"/>
        <w:spacing w:line="302" w:lineRule="atLeast"/>
        <w:jc w:val="both"/>
        <w:rPr>
          <w:rFonts w:ascii="Tahoma" w:hAnsi="Tahoma" w:cs="Tahoma"/>
        </w:rPr>
      </w:pPr>
      <w:r w:rsidRPr="00DA7938">
        <w:rPr>
          <w:rFonts w:ascii="Tahoma" w:hAnsi="Tahoma" w:cs="Tahoma"/>
        </w:rPr>
        <w:t xml:space="preserve">Relais par les </w:t>
      </w:r>
      <w:proofErr w:type="spellStart"/>
      <w:r w:rsidRPr="00DA7938">
        <w:rPr>
          <w:rFonts w:ascii="Tahoma" w:hAnsi="Tahoma" w:cs="Tahoma"/>
        </w:rPr>
        <w:t>antivitamine</w:t>
      </w:r>
      <w:r>
        <w:rPr>
          <w:rFonts w:ascii="Tahoma" w:hAnsi="Tahoma" w:cs="Tahoma"/>
        </w:rPr>
        <w:t>s</w:t>
      </w:r>
      <w:proofErr w:type="spellEnd"/>
      <w:r w:rsidRPr="00DA7938">
        <w:rPr>
          <w:rFonts w:ascii="Tahoma" w:hAnsi="Tahoma" w:cs="Tahoma"/>
        </w:rPr>
        <w:t xml:space="preserve"> K (PREVISCAN 1 </w:t>
      </w:r>
      <w:proofErr w:type="spellStart"/>
      <w:r w:rsidRPr="00DA7938">
        <w:rPr>
          <w:rFonts w:ascii="Tahoma" w:hAnsi="Tahoma" w:cs="Tahoma"/>
        </w:rPr>
        <w:t>cp</w:t>
      </w:r>
      <w:proofErr w:type="spellEnd"/>
      <w:r w:rsidRPr="00DA7938">
        <w:rPr>
          <w:rFonts w:ascii="Tahoma" w:hAnsi="Tahoma" w:cs="Tahoma"/>
        </w:rPr>
        <w:t xml:space="preserve"> par jour) </w:t>
      </w:r>
    </w:p>
    <w:p w:rsidR="00F010A4" w:rsidRPr="00DA7938" w:rsidRDefault="00F010A4" w:rsidP="00F010A4">
      <w:pPr>
        <w:widowControl w:val="0"/>
        <w:tabs>
          <w:tab w:val="left" w:pos="576"/>
        </w:tabs>
        <w:autoSpaceDE w:val="0"/>
        <w:autoSpaceDN w:val="0"/>
        <w:adjustRightInd w:val="0"/>
        <w:spacing w:line="302" w:lineRule="atLeast"/>
        <w:jc w:val="both"/>
        <w:rPr>
          <w:rFonts w:ascii="Tahoma" w:hAnsi="Tahoma" w:cs="Tahoma"/>
        </w:rPr>
      </w:pPr>
      <w:r w:rsidRPr="00DA7938">
        <w:rPr>
          <w:rFonts w:ascii="Tahoma" w:hAnsi="Tahoma" w:cs="Tahoma"/>
        </w:rPr>
        <w:t>Repos strict au lit jambes surélevées pendant 48 heures, puis reprendre la marche progressivement sous contention élastique classe 2.</w:t>
      </w:r>
      <w:r w:rsidRPr="00DA7938">
        <w:rPr>
          <w:rFonts w:ascii="Tahoma" w:hAnsi="Tahoma" w:cs="Tahoma"/>
          <w:i/>
          <w:iCs/>
        </w:rPr>
        <w:t xml:space="preserve"> </w:t>
      </w:r>
    </w:p>
    <w:p w:rsidR="00F010A4" w:rsidRPr="00DA7938" w:rsidRDefault="00F010A4" w:rsidP="00F010A4">
      <w:pPr>
        <w:widowControl w:val="0"/>
        <w:tabs>
          <w:tab w:val="left" w:pos="576"/>
        </w:tabs>
        <w:autoSpaceDE w:val="0"/>
        <w:autoSpaceDN w:val="0"/>
        <w:adjustRightInd w:val="0"/>
        <w:spacing w:line="302" w:lineRule="atLeast"/>
        <w:jc w:val="both"/>
        <w:rPr>
          <w:rFonts w:ascii="Tahoma" w:hAnsi="Tahoma" w:cs="Tahoma"/>
          <w:i/>
        </w:rPr>
      </w:pPr>
      <w:r w:rsidRPr="00DA7938">
        <w:rPr>
          <w:rFonts w:ascii="Tahoma" w:hAnsi="Tahoma" w:cs="Tahoma"/>
        </w:rPr>
        <w:t>Prévoir 6 semaines de traitement anticoagulant et à l'issue, un bilan</w:t>
      </w:r>
      <w:r>
        <w:rPr>
          <w:rFonts w:ascii="Tahoma" w:hAnsi="Tahoma" w:cs="Tahoma"/>
        </w:rPr>
        <w:t xml:space="preserve"> </w:t>
      </w:r>
      <w:r w:rsidRPr="00DA7938">
        <w:rPr>
          <w:rFonts w:ascii="Tahoma" w:hAnsi="Tahoma" w:cs="Tahoma"/>
        </w:rPr>
        <w:t xml:space="preserve">étiologique à la recherche de </w:t>
      </w:r>
      <w:proofErr w:type="spellStart"/>
      <w:r w:rsidRPr="00DA7938">
        <w:rPr>
          <w:rFonts w:ascii="Tahoma" w:hAnsi="Tahoma" w:cs="Tahoma"/>
        </w:rPr>
        <w:t>thrombophilie</w:t>
      </w:r>
      <w:proofErr w:type="spellEnd"/>
      <w:r w:rsidRPr="00DA7938">
        <w:rPr>
          <w:rFonts w:ascii="Tahoma" w:hAnsi="Tahoma" w:cs="Tahoma"/>
        </w:rPr>
        <w:t xml:space="preserve"> constitutionnelle ou acquise.</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2D31C9"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9D679C"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1C9" w:rsidRDefault="002D31C9">
      <w:r>
        <w:separator/>
      </w:r>
    </w:p>
  </w:endnote>
  <w:endnote w:type="continuationSeparator" w:id="0">
    <w:p w:rsidR="002D31C9" w:rsidRDefault="002D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363C86">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363C86">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363C86">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363C86">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1C9" w:rsidRDefault="002D31C9">
      <w:r>
        <w:separator/>
      </w:r>
    </w:p>
  </w:footnote>
  <w:footnote w:type="continuationSeparator" w:id="0">
    <w:p w:rsidR="002D31C9" w:rsidRDefault="002D3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363C86">
                            <w:rPr>
                              <w:sz w:val="36"/>
                              <w:szCs w:val="36"/>
                            </w:rPr>
                            <w:t>1</w:t>
                          </w:r>
                          <w:r w:rsidR="00F010A4">
                            <w:rPr>
                              <w:sz w:val="36"/>
                              <w:szCs w:val="36"/>
                            </w:rPr>
                            <w:t>8</w:t>
                          </w:r>
                          <w:r w:rsidR="00B43969">
                            <w:rPr>
                              <w:sz w:val="36"/>
                              <w:szCs w:val="36"/>
                            </w:rPr>
                            <w:t xml:space="preserve"> </w:t>
                          </w:r>
                          <w:r w:rsidR="00346B61">
                            <w:rPr>
                              <w:sz w:val="36"/>
                              <w:szCs w:val="36"/>
                            </w:rPr>
                            <w:t>–</w:t>
                          </w:r>
                          <w:r w:rsidR="002C6AF0">
                            <w:rPr>
                              <w:sz w:val="36"/>
                              <w:szCs w:val="36"/>
                            </w:rPr>
                            <w:t xml:space="preserve"> </w:t>
                          </w:r>
                          <w:proofErr w:type="spellStart"/>
                          <w:r w:rsidR="00E4751A">
                            <w:rPr>
                              <w:sz w:val="36"/>
                              <w:szCs w:val="36"/>
                            </w:rPr>
                            <w:t>echodoppler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363C86">
                      <w:rPr>
                        <w:sz w:val="36"/>
                        <w:szCs w:val="36"/>
                      </w:rPr>
                      <w:t>1</w:t>
                    </w:r>
                    <w:r w:rsidR="00F010A4">
                      <w:rPr>
                        <w:sz w:val="36"/>
                        <w:szCs w:val="36"/>
                      </w:rPr>
                      <w:t>8</w:t>
                    </w:r>
                    <w:r w:rsidR="00B43969">
                      <w:rPr>
                        <w:sz w:val="36"/>
                        <w:szCs w:val="36"/>
                      </w:rPr>
                      <w:t xml:space="preserve"> </w:t>
                    </w:r>
                    <w:r w:rsidR="00346B61">
                      <w:rPr>
                        <w:sz w:val="36"/>
                        <w:szCs w:val="36"/>
                      </w:rPr>
                      <w:t>–</w:t>
                    </w:r>
                    <w:r w:rsidR="002C6AF0">
                      <w:rPr>
                        <w:sz w:val="36"/>
                        <w:szCs w:val="36"/>
                      </w:rPr>
                      <w:t xml:space="preserve"> </w:t>
                    </w:r>
                    <w:proofErr w:type="spellStart"/>
                    <w:r w:rsidR="00E4751A">
                      <w:rPr>
                        <w:sz w:val="36"/>
                        <w:szCs w:val="36"/>
                      </w:rPr>
                      <w:t>echodoppler</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363C86">
                            <w:rPr>
                              <w:sz w:val="24"/>
                              <w:szCs w:val="24"/>
                            </w:rPr>
                            <w:t>1</w:t>
                          </w:r>
                          <w:r w:rsidR="00F010A4">
                            <w:rPr>
                              <w:sz w:val="24"/>
                              <w:szCs w:val="24"/>
                            </w:rPr>
                            <w:t>8</w:t>
                          </w:r>
                          <w:r w:rsidR="00D639E7">
                            <w:rPr>
                              <w:sz w:val="24"/>
                              <w:szCs w:val="24"/>
                            </w:rPr>
                            <w:t xml:space="preserve"> – </w:t>
                          </w:r>
                          <w:proofErr w:type="spellStart"/>
                          <w:r w:rsidR="00E4751A">
                            <w:rPr>
                              <w:sz w:val="24"/>
                              <w:szCs w:val="24"/>
                            </w:rPr>
                            <w:t>echodoppler</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363C86">
                      <w:rPr>
                        <w:sz w:val="24"/>
                        <w:szCs w:val="24"/>
                      </w:rPr>
                      <w:t>1</w:t>
                    </w:r>
                    <w:r w:rsidR="00F010A4">
                      <w:rPr>
                        <w:sz w:val="24"/>
                        <w:szCs w:val="24"/>
                      </w:rPr>
                      <w:t>8</w:t>
                    </w:r>
                    <w:r w:rsidR="00D639E7">
                      <w:rPr>
                        <w:sz w:val="24"/>
                        <w:szCs w:val="24"/>
                      </w:rPr>
                      <w:t xml:space="preserve"> – </w:t>
                    </w:r>
                    <w:proofErr w:type="spellStart"/>
                    <w:r w:rsidR="00E4751A">
                      <w:rPr>
                        <w:sz w:val="24"/>
                        <w:szCs w:val="24"/>
                      </w:rPr>
                      <w:t>echodoppler</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687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6D18"/>
    <w:rsid w:val="009F320D"/>
    <w:rsid w:val="009F5045"/>
    <w:rsid w:val="009F6A61"/>
    <w:rsid w:val="00A14321"/>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39E7"/>
    <w:rsid w:val="00D64624"/>
    <w:rsid w:val="00D66BF8"/>
    <w:rsid w:val="00D75C77"/>
    <w:rsid w:val="00D848E1"/>
    <w:rsid w:val="00D86487"/>
    <w:rsid w:val="00DA491C"/>
    <w:rsid w:val="00DA6201"/>
    <w:rsid w:val="00DB5A47"/>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4751A"/>
    <w:rsid w:val="00E50978"/>
    <w:rsid w:val="00E5377A"/>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A96398-7E41-4156-8ACD-837BD30C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2710</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2015-01-28T16:53:00Z</dcterms:created>
  <dcterms:modified xsi:type="dcterms:W3CDTF">2015-01-29T07:39:00Z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