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5D" w:rsidRDefault="00BD685D" w:rsidP="00BD685D">
      <w:pPr>
        <w:tabs>
          <w:tab w:val="left" w:pos="4820"/>
        </w:tabs>
        <w:jc w:val="both"/>
        <w:rPr>
          <w:rFonts w:ascii="Verdana" w:hAnsi="Verdana"/>
          <w:b/>
        </w:rPr>
      </w:pPr>
    </w:p>
    <w:p w:rsidR="00BD685D" w:rsidRPr="000D4925" w:rsidRDefault="00BD685D" w:rsidP="00BD685D">
      <w:pPr>
        <w:tabs>
          <w:tab w:val="left" w:pos="4820"/>
        </w:tabs>
        <w:jc w:val="both"/>
        <w:rPr>
          <w:rFonts w:ascii="Verdana" w:hAnsi="Verdana"/>
          <w:b/>
          <w:sz w:val="24"/>
          <w:szCs w:val="24"/>
        </w:rPr>
      </w:pPr>
    </w:p>
    <w:p w:rsidR="007245E5" w:rsidRDefault="007245E5" w:rsidP="000D4925">
      <w:pPr>
        <w:tabs>
          <w:tab w:val="left" w:pos="4820"/>
        </w:tabs>
        <w:jc w:val="center"/>
        <w:rPr>
          <w:rFonts w:ascii="Tahoma" w:hAnsi="Tahoma" w:cs="Tahoma"/>
          <w:b/>
          <w:sz w:val="24"/>
          <w:szCs w:val="24"/>
        </w:rPr>
      </w:pPr>
    </w:p>
    <w:p w:rsidR="000D4925" w:rsidRPr="000D4925" w:rsidRDefault="007245E5" w:rsidP="000D4925">
      <w:pPr>
        <w:tabs>
          <w:tab w:val="left" w:pos="4820"/>
        </w:tabs>
        <w:jc w:val="center"/>
        <w:rPr>
          <w:rFonts w:ascii="Tahoma" w:hAnsi="Tahoma" w:cs="Tahoma"/>
          <w:b/>
        </w:rPr>
      </w:pPr>
      <w:r>
        <w:rPr>
          <w:rFonts w:ascii="Tahoma" w:hAnsi="Tahoma" w:cs="Tahoma"/>
          <w:b/>
          <w:sz w:val="24"/>
          <w:szCs w:val="24"/>
        </w:rPr>
        <w:t>COMPTE-RENDU</w:t>
      </w:r>
      <w:r w:rsidR="000D4925" w:rsidRPr="000D4925">
        <w:rPr>
          <w:rFonts w:ascii="Tahoma" w:hAnsi="Tahoma" w:cs="Tahoma"/>
          <w:b/>
          <w:sz w:val="24"/>
          <w:szCs w:val="24"/>
        </w:rPr>
        <w:t xml:space="preserve"> RADIOLOGI</w:t>
      </w:r>
      <w:r>
        <w:rPr>
          <w:rFonts w:ascii="Tahoma" w:hAnsi="Tahoma" w:cs="Tahoma"/>
          <w:b/>
          <w:sz w:val="24"/>
          <w:szCs w:val="24"/>
        </w:rPr>
        <w:t>QUE</w:t>
      </w:r>
    </w:p>
    <w:p w:rsidR="000D4925" w:rsidRPr="000D4925" w:rsidRDefault="000D4925" w:rsidP="000D4925">
      <w:pPr>
        <w:jc w:val="both"/>
        <w:rPr>
          <w:rFonts w:ascii="Tahoma" w:hAnsi="Tahoma" w:cs="Tahoma"/>
          <w:sz w:val="20"/>
          <w:szCs w:val="20"/>
        </w:rPr>
      </w:pPr>
    </w:p>
    <w:p w:rsidR="000D4925" w:rsidRPr="000D4925" w:rsidRDefault="000D4925" w:rsidP="000D4925">
      <w:pPr>
        <w:jc w:val="both"/>
        <w:rPr>
          <w:rFonts w:ascii="Tahoma" w:hAnsi="Tahoma" w:cs="Tahoma"/>
          <w:b/>
        </w:rPr>
      </w:pPr>
      <w:r w:rsidRPr="000D4925">
        <w:rPr>
          <w:rFonts w:ascii="Tahoma" w:hAnsi="Tahoma" w:cs="Tahoma"/>
          <w:b/>
          <w:u w:val="single"/>
        </w:rPr>
        <w:t>Radiographie du coude gauche avec clichés comparatifs</w:t>
      </w:r>
    </w:p>
    <w:p w:rsidR="000D4925" w:rsidRPr="000D4925" w:rsidRDefault="000D4925" w:rsidP="000D4925">
      <w:pPr>
        <w:jc w:val="both"/>
        <w:rPr>
          <w:rFonts w:ascii="Tahoma" w:hAnsi="Tahoma" w:cs="Tahoma"/>
        </w:rPr>
      </w:pPr>
    </w:p>
    <w:p w:rsidR="000D4925" w:rsidRPr="000D4925" w:rsidRDefault="000D4925" w:rsidP="000D4925">
      <w:pPr>
        <w:jc w:val="both"/>
        <w:rPr>
          <w:rFonts w:ascii="Tahoma" w:hAnsi="Tahoma" w:cs="Tahoma"/>
        </w:rPr>
      </w:pPr>
      <w:r w:rsidRPr="000D4925">
        <w:rPr>
          <w:rFonts w:ascii="Tahoma" w:hAnsi="Tahoma" w:cs="Tahoma"/>
        </w:rPr>
        <w:t>Minéralisation satisfaisante.</w:t>
      </w:r>
    </w:p>
    <w:p w:rsidR="000D4925" w:rsidRPr="000D4925" w:rsidRDefault="000D4925" w:rsidP="000D4925">
      <w:pPr>
        <w:jc w:val="both"/>
        <w:rPr>
          <w:rFonts w:ascii="Tahoma" w:hAnsi="Tahoma" w:cs="Tahoma"/>
        </w:rPr>
      </w:pPr>
    </w:p>
    <w:p w:rsidR="000D4925" w:rsidRPr="000D4925" w:rsidRDefault="000D4925" w:rsidP="000D4925">
      <w:pPr>
        <w:jc w:val="both"/>
        <w:rPr>
          <w:rFonts w:ascii="Tahoma" w:hAnsi="Tahoma" w:cs="Tahoma"/>
        </w:rPr>
      </w:pPr>
      <w:r w:rsidRPr="000D4925">
        <w:rPr>
          <w:rFonts w:ascii="Tahoma" w:hAnsi="Tahoma" w:cs="Tahoma"/>
        </w:rPr>
        <w:t>Présence au niveau de l’</w:t>
      </w:r>
      <w:proofErr w:type="spellStart"/>
      <w:r w:rsidRPr="000D4925">
        <w:rPr>
          <w:rFonts w:ascii="Tahoma" w:hAnsi="Tahoma" w:cs="Tahoma"/>
        </w:rPr>
        <w:t>oléocrâne</w:t>
      </w:r>
      <w:proofErr w:type="spellEnd"/>
      <w:r w:rsidR="00AE700B">
        <w:rPr>
          <w:rFonts w:ascii="Tahoma" w:hAnsi="Tahoma" w:cs="Tahoma"/>
        </w:rPr>
        <w:t>/</w:t>
      </w:r>
      <w:proofErr w:type="spellStart"/>
      <w:r w:rsidR="00AE700B">
        <w:rPr>
          <w:rFonts w:ascii="Tahoma" w:hAnsi="Tahoma" w:cs="Tahoma"/>
        </w:rPr>
        <w:t>oléocrane</w:t>
      </w:r>
      <w:proofErr w:type="spellEnd"/>
      <w:r w:rsidRPr="000D4925">
        <w:rPr>
          <w:rFonts w:ascii="Tahoma" w:hAnsi="Tahoma" w:cs="Tahoma"/>
        </w:rPr>
        <w:t xml:space="preserve"> gauche d’un volumineux bec ostéophytique. </w:t>
      </w:r>
    </w:p>
    <w:p w:rsidR="000D4925" w:rsidRPr="000D4925" w:rsidRDefault="000D4925" w:rsidP="000D4925">
      <w:pPr>
        <w:jc w:val="both"/>
        <w:rPr>
          <w:rFonts w:ascii="Tahoma" w:hAnsi="Tahoma" w:cs="Tahoma"/>
        </w:rPr>
      </w:pPr>
    </w:p>
    <w:p w:rsidR="000D4925" w:rsidRPr="000D4925" w:rsidRDefault="000D4925" w:rsidP="000D4925">
      <w:pPr>
        <w:jc w:val="both"/>
        <w:rPr>
          <w:rFonts w:ascii="Tahoma" w:hAnsi="Tahoma" w:cs="Tahoma"/>
        </w:rPr>
      </w:pPr>
      <w:r w:rsidRPr="000D4925">
        <w:rPr>
          <w:rFonts w:ascii="Tahoma" w:hAnsi="Tahoma" w:cs="Tahoma"/>
        </w:rPr>
        <w:t>Le cliché des parties molles réalisé à ce niveau, met en évidence la probabilité d’une lésion traumatique au niveau de sa base.</w:t>
      </w:r>
    </w:p>
    <w:p w:rsidR="000D4925" w:rsidRPr="000D4925" w:rsidRDefault="000D4925" w:rsidP="000D4925">
      <w:pPr>
        <w:jc w:val="both"/>
        <w:rPr>
          <w:rFonts w:ascii="Tahoma" w:hAnsi="Tahoma" w:cs="Tahoma"/>
        </w:rPr>
      </w:pPr>
    </w:p>
    <w:p w:rsidR="000D4925" w:rsidRPr="000D4925" w:rsidRDefault="000D4925" w:rsidP="000D4925">
      <w:pPr>
        <w:jc w:val="both"/>
        <w:rPr>
          <w:rFonts w:ascii="Tahoma" w:hAnsi="Tahoma" w:cs="Tahoma"/>
        </w:rPr>
      </w:pPr>
      <w:r w:rsidRPr="000D4925">
        <w:rPr>
          <w:rFonts w:ascii="Tahoma" w:hAnsi="Tahoma" w:cs="Tahoma"/>
        </w:rPr>
        <w:t>Une comparaison au côté opposé met en évidence une image du même type, même légèrement plus volumineuse, sans toutefois de signe de détachement.</w:t>
      </w:r>
    </w:p>
    <w:p w:rsidR="000D4925" w:rsidRPr="000D4925" w:rsidRDefault="000D4925" w:rsidP="000D4925">
      <w:pPr>
        <w:jc w:val="both"/>
        <w:rPr>
          <w:rFonts w:ascii="Tahoma" w:hAnsi="Tahoma" w:cs="Tahoma"/>
        </w:rPr>
      </w:pPr>
    </w:p>
    <w:p w:rsidR="000D4925" w:rsidRPr="000D4925" w:rsidRDefault="000D4925" w:rsidP="000D4925">
      <w:pPr>
        <w:jc w:val="both"/>
        <w:rPr>
          <w:rFonts w:ascii="Tahoma" w:hAnsi="Tahoma" w:cs="Tahoma"/>
        </w:rPr>
      </w:pPr>
      <w:r w:rsidRPr="000D4925">
        <w:rPr>
          <w:rFonts w:ascii="Tahoma" w:hAnsi="Tahoma" w:cs="Tahoma"/>
        </w:rPr>
        <w:t>Les rapports articulaires sont bien conservés à tous les niveaux.</w:t>
      </w:r>
    </w:p>
    <w:p w:rsidR="000D4925" w:rsidRPr="000D4925" w:rsidRDefault="000D4925" w:rsidP="000D4925">
      <w:pPr>
        <w:jc w:val="both"/>
        <w:rPr>
          <w:rFonts w:ascii="Tahoma" w:hAnsi="Tahoma" w:cs="Tahoma"/>
        </w:rPr>
      </w:pPr>
    </w:p>
    <w:p w:rsidR="000D4925" w:rsidRPr="000D4925" w:rsidRDefault="000D4925" w:rsidP="000D4925">
      <w:pPr>
        <w:jc w:val="both"/>
        <w:rPr>
          <w:rFonts w:ascii="Tahoma" w:hAnsi="Tahoma" w:cs="Tahoma"/>
          <w:b/>
        </w:rPr>
      </w:pPr>
      <w:r w:rsidRPr="000D4925">
        <w:rPr>
          <w:rFonts w:ascii="Tahoma" w:hAnsi="Tahoma" w:cs="Tahoma"/>
          <w:b/>
          <w:u w:val="single"/>
        </w:rPr>
        <w:t>CONCLUSION</w:t>
      </w:r>
      <w:r w:rsidRPr="000D4925">
        <w:rPr>
          <w:rFonts w:ascii="Tahoma" w:hAnsi="Tahoma" w:cs="Tahoma"/>
          <w:b/>
        </w:rPr>
        <w:t> :</w:t>
      </w:r>
    </w:p>
    <w:p w:rsidR="000D4925" w:rsidRPr="000D4925" w:rsidRDefault="000D4925" w:rsidP="000D4925">
      <w:pPr>
        <w:jc w:val="both"/>
        <w:rPr>
          <w:rFonts w:ascii="Tahoma" w:hAnsi="Tahoma" w:cs="Tahoma"/>
        </w:rPr>
      </w:pPr>
    </w:p>
    <w:p w:rsidR="000D4925" w:rsidRPr="000D4925" w:rsidRDefault="000D4925" w:rsidP="000D4925">
      <w:pPr>
        <w:jc w:val="both"/>
        <w:rPr>
          <w:rFonts w:ascii="Tahoma" w:hAnsi="Tahoma" w:cs="Tahoma"/>
        </w:rPr>
      </w:pPr>
      <w:proofErr w:type="spellStart"/>
      <w:r w:rsidRPr="000D4925">
        <w:rPr>
          <w:rFonts w:ascii="Tahoma" w:hAnsi="Tahoma" w:cs="Tahoma"/>
        </w:rPr>
        <w:t>Ostéophytose</w:t>
      </w:r>
      <w:proofErr w:type="spellEnd"/>
      <w:r w:rsidRPr="000D4925">
        <w:rPr>
          <w:rFonts w:ascii="Tahoma" w:hAnsi="Tahoma" w:cs="Tahoma"/>
        </w:rPr>
        <w:t xml:space="preserve"> </w:t>
      </w:r>
      <w:proofErr w:type="spellStart"/>
      <w:r w:rsidRPr="000D4925">
        <w:rPr>
          <w:rFonts w:ascii="Tahoma" w:hAnsi="Tahoma" w:cs="Tahoma"/>
        </w:rPr>
        <w:t>oléocrâ</w:t>
      </w:r>
      <w:bookmarkStart w:id="0" w:name="_GoBack"/>
      <w:bookmarkEnd w:id="0"/>
      <w:r w:rsidRPr="000D4925">
        <w:rPr>
          <w:rFonts w:ascii="Tahoma" w:hAnsi="Tahoma" w:cs="Tahoma"/>
        </w:rPr>
        <w:t>nienne</w:t>
      </w:r>
      <w:proofErr w:type="spellEnd"/>
      <w:r w:rsidRPr="000D4925">
        <w:rPr>
          <w:rFonts w:ascii="Tahoma" w:hAnsi="Tahoma" w:cs="Tahoma"/>
        </w:rPr>
        <w:t xml:space="preserve"> bilatérale avec vraisemblable lésion traumatique surajoutée à gauche.</w:t>
      </w:r>
    </w:p>
    <w:p w:rsidR="000D4925" w:rsidRDefault="000D4925" w:rsidP="000D4925">
      <w:pPr>
        <w:jc w:val="both"/>
        <w:rPr>
          <w:rFonts w:ascii="Verdana" w:hAnsi="Verdana"/>
          <w:sz w:val="20"/>
          <w:szCs w:val="20"/>
        </w:rPr>
      </w:pPr>
    </w:p>
    <w:p w:rsidR="002C628B" w:rsidRDefault="002C628B" w:rsidP="000D4925">
      <w:pPr>
        <w:pStyle w:val="LISTEtitreniveau1"/>
        <w:numPr>
          <w:ilvl w:val="0"/>
          <w:numId w:val="0"/>
        </w:numPr>
        <w:jc w:val="both"/>
      </w:pPr>
    </w:p>
    <w:p w:rsidR="00D46D83" w:rsidRDefault="00D46D83" w:rsidP="006E71A6">
      <w:pPr>
        <w:pStyle w:val="LISTEtitreniveau1"/>
        <w:numPr>
          <w:ilvl w:val="0"/>
          <w:numId w:val="0"/>
        </w:numPr>
        <w:ind w:left="720"/>
        <w:sectPr w:rsidR="00D46D8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5E0C2E"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6E6966" w:rsidP="00AC2490">
                      <w:pPr>
                        <w:pStyle w:val="Rfrenceweb"/>
                        <w:spacing w:after="0"/>
                        <w:ind w:left="0"/>
                        <w:rPr>
                          <w:color w:val="92D050"/>
                        </w:rPr>
                      </w:pPr>
                      <w:hyperlink r:id="rId19" w:history="1">
                        <w:r w:rsidR="00AC2490">
                          <w:rPr>
                            <w:b w:val="0"/>
                            <w:color w:val="92D050"/>
                          </w:rPr>
                          <w:t>www.afpa.fr</w:t>
                        </w:r>
                      </w:hyperlink>
                    </w:p>
                  </w:txbxContent>
                </v:textbox>
                <w10:wrap type="square"/>
              </v:shape>
            </w:pict>
          </mc:Fallback>
        </mc:AlternateContent>
      </w:r>
    </w:p>
    <w:sectPr w:rsidR="009355B7" w:rsidRPr="008E6EA7" w:rsidSect="00A669DD">
      <w:headerReference w:type="first" r:id="rId20"/>
      <w:footerReference w:type="first" r:id="rId21"/>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C2E" w:rsidRDefault="005E0C2E">
      <w:r>
        <w:separator/>
      </w:r>
    </w:p>
  </w:endnote>
  <w:endnote w:type="continuationSeparator" w:id="0">
    <w:p w:rsidR="005E0C2E" w:rsidRDefault="005E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0A951752" wp14:editId="14AC513A">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AC6EB1">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AC6EB1">
      <w:rPr>
        <w:b/>
        <w:bCs/>
        <w:noProof/>
      </w:rPr>
      <w:t>2</w:t>
    </w:r>
    <w:r w:rsidR="00983D12" w:rsidRPr="00F234CB">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AC6EB1">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AC6EB1">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C2E" w:rsidRDefault="005E0C2E">
      <w:r>
        <w:separator/>
      </w:r>
    </w:p>
  </w:footnote>
  <w:footnote w:type="continuationSeparator" w:id="0">
    <w:p w:rsidR="005E0C2E" w:rsidRDefault="005E0C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5F687B2C" wp14:editId="464A20AC">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24D45096" wp14:editId="002445C4">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AC6EB1" w:rsidP="008B02A5">
                          <w:pPr>
                            <w:pStyle w:val="Titrefondvert"/>
                            <w:spacing w:before="240" w:after="240"/>
                            <w:ind w:left="1304"/>
                            <w:rPr>
                              <w:sz w:val="36"/>
                              <w:szCs w:val="36"/>
                            </w:rPr>
                          </w:pPr>
                          <w:r>
                            <w:rPr>
                              <w:sz w:val="36"/>
                              <w:szCs w:val="36"/>
                            </w:rPr>
                            <w:t>TP1 – série1</w:t>
                          </w:r>
                          <w:r w:rsidR="002C6AF0">
                            <w:rPr>
                              <w:sz w:val="36"/>
                              <w:szCs w:val="36"/>
                            </w:rPr>
                            <w:t xml:space="preserve"> - 5</w:t>
                          </w:r>
                          <w:r w:rsidR="00B43969">
                            <w:rPr>
                              <w:sz w:val="36"/>
                              <w:szCs w:val="36"/>
                            </w:rPr>
                            <w:t xml:space="preserve"> </w:t>
                          </w:r>
                          <w:r w:rsidR="00F04145">
                            <w:rPr>
                              <w:sz w:val="36"/>
                              <w:szCs w:val="36"/>
                            </w:rPr>
                            <w:t>-</w:t>
                          </w:r>
                          <w:r w:rsidR="002C6AF0">
                            <w:rPr>
                              <w:sz w:val="36"/>
                              <w:szCs w:val="36"/>
                            </w:rPr>
                            <w:t xml:space="preserve"> </w:t>
                          </w:r>
                          <w:proofErr w:type="spellStart"/>
                          <w:r w:rsidR="00F04145">
                            <w:rPr>
                              <w:sz w:val="36"/>
                              <w:szCs w:val="36"/>
                            </w:rPr>
                            <w:t>cre</w:t>
                          </w:r>
                          <w:proofErr w:type="spellEnd"/>
                          <w:r w:rsidR="00F04145">
                            <w:rPr>
                              <w:sz w:val="36"/>
                              <w:szCs w:val="36"/>
                            </w:rPr>
                            <w:t xml:space="preserve"> - coude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AC6EB1" w:rsidP="008B02A5">
                    <w:pPr>
                      <w:pStyle w:val="Titrefondvert"/>
                      <w:spacing w:before="240" w:after="240"/>
                      <w:ind w:left="1304"/>
                      <w:rPr>
                        <w:sz w:val="36"/>
                        <w:szCs w:val="36"/>
                      </w:rPr>
                    </w:pPr>
                    <w:r>
                      <w:rPr>
                        <w:sz w:val="36"/>
                        <w:szCs w:val="36"/>
                      </w:rPr>
                      <w:t>TP1 – série1</w:t>
                    </w:r>
                    <w:r w:rsidR="002C6AF0">
                      <w:rPr>
                        <w:sz w:val="36"/>
                        <w:szCs w:val="36"/>
                      </w:rPr>
                      <w:t xml:space="preserve"> - 5</w:t>
                    </w:r>
                    <w:r w:rsidR="00B43969">
                      <w:rPr>
                        <w:sz w:val="36"/>
                        <w:szCs w:val="36"/>
                      </w:rPr>
                      <w:t xml:space="preserve"> </w:t>
                    </w:r>
                    <w:r w:rsidR="00F04145">
                      <w:rPr>
                        <w:sz w:val="36"/>
                        <w:szCs w:val="36"/>
                      </w:rPr>
                      <w:t>-</w:t>
                    </w:r>
                    <w:r w:rsidR="002C6AF0">
                      <w:rPr>
                        <w:sz w:val="36"/>
                        <w:szCs w:val="36"/>
                      </w:rPr>
                      <w:t xml:space="preserve"> </w:t>
                    </w:r>
                    <w:proofErr w:type="spellStart"/>
                    <w:r w:rsidR="00F04145">
                      <w:rPr>
                        <w:sz w:val="36"/>
                        <w:szCs w:val="36"/>
                      </w:rPr>
                      <w:t>cre</w:t>
                    </w:r>
                    <w:proofErr w:type="spellEnd"/>
                    <w:r w:rsidR="00F04145">
                      <w:rPr>
                        <w:sz w:val="36"/>
                        <w:szCs w:val="36"/>
                      </w:rPr>
                      <w:t xml:space="preserve"> - coude</w:t>
                    </w: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31B4D4E9" wp14:editId="0158B7BE">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438D9BA0" wp14:editId="2A980FAC">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AC6EB1">
                            <w:rPr>
                              <w:sz w:val="24"/>
                              <w:szCs w:val="24"/>
                            </w:rPr>
                            <w:t>P1 – série1</w:t>
                          </w:r>
                          <w:r w:rsidR="00F04145">
                            <w:rPr>
                              <w:sz w:val="24"/>
                              <w:szCs w:val="24"/>
                            </w:rPr>
                            <w:t xml:space="preserve"> – 5 – </w:t>
                          </w:r>
                          <w:proofErr w:type="spellStart"/>
                          <w:r w:rsidR="00F04145">
                            <w:rPr>
                              <w:sz w:val="24"/>
                              <w:szCs w:val="24"/>
                            </w:rPr>
                            <w:t>cre</w:t>
                          </w:r>
                          <w:proofErr w:type="spellEnd"/>
                          <w:r w:rsidR="00F04145">
                            <w:rPr>
                              <w:sz w:val="24"/>
                              <w:szCs w:val="24"/>
                            </w:rPr>
                            <w:t xml:space="preserve"> - coude</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AC6EB1">
                      <w:rPr>
                        <w:sz w:val="24"/>
                        <w:szCs w:val="24"/>
                      </w:rPr>
                      <w:t>P1 – série1</w:t>
                    </w:r>
                    <w:r w:rsidR="00F04145">
                      <w:rPr>
                        <w:sz w:val="24"/>
                        <w:szCs w:val="24"/>
                      </w:rPr>
                      <w:t xml:space="preserve"> – 5 – </w:t>
                    </w:r>
                    <w:proofErr w:type="spellStart"/>
                    <w:r w:rsidR="00F04145">
                      <w:rPr>
                        <w:sz w:val="24"/>
                        <w:szCs w:val="24"/>
                      </w:rPr>
                      <w:t>cre</w:t>
                    </w:r>
                    <w:proofErr w:type="spellEnd"/>
                    <w:r w:rsidR="00F04145">
                      <w:rPr>
                        <w:sz w:val="24"/>
                        <w:szCs w:val="24"/>
                      </w:rPr>
                      <w:t xml:space="preserve"> - coude</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31CFE"/>
    <w:rsid w:val="00333D6F"/>
    <w:rsid w:val="00340870"/>
    <w:rsid w:val="00341D8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90822"/>
    <w:rsid w:val="005A33D2"/>
    <w:rsid w:val="005A6AF4"/>
    <w:rsid w:val="005B0749"/>
    <w:rsid w:val="005B756E"/>
    <w:rsid w:val="005D62D1"/>
    <w:rsid w:val="005E0C2E"/>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F1C7D"/>
    <w:rsid w:val="006F4222"/>
    <w:rsid w:val="006F72C9"/>
    <w:rsid w:val="0071235A"/>
    <w:rsid w:val="00721051"/>
    <w:rsid w:val="007245E5"/>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5A55"/>
    <w:rsid w:val="00833D4B"/>
    <w:rsid w:val="0084400D"/>
    <w:rsid w:val="008442F0"/>
    <w:rsid w:val="0084780D"/>
    <w:rsid w:val="00855896"/>
    <w:rsid w:val="008934CF"/>
    <w:rsid w:val="008957D3"/>
    <w:rsid w:val="008A77CA"/>
    <w:rsid w:val="008B02A5"/>
    <w:rsid w:val="008B04DA"/>
    <w:rsid w:val="008B1565"/>
    <w:rsid w:val="008B7434"/>
    <w:rsid w:val="008D0600"/>
    <w:rsid w:val="008D1E94"/>
    <w:rsid w:val="008D46D9"/>
    <w:rsid w:val="008E6EA7"/>
    <w:rsid w:val="009155F3"/>
    <w:rsid w:val="00916B4D"/>
    <w:rsid w:val="009212A1"/>
    <w:rsid w:val="009259BD"/>
    <w:rsid w:val="0093378C"/>
    <w:rsid w:val="009355B7"/>
    <w:rsid w:val="00941CD4"/>
    <w:rsid w:val="009502F1"/>
    <w:rsid w:val="009514D1"/>
    <w:rsid w:val="00961B4E"/>
    <w:rsid w:val="00966E1E"/>
    <w:rsid w:val="00971158"/>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6EB1"/>
    <w:rsid w:val="00AC7689"/>
    <w:rsid w:val="00AD2F94"/>
    <w:rsid w:val="00AD5CE1"/>
    <w:rsid w:val="00AE6C9F"/>
    <w:rsid w:val="00AE700B"/>
    <w:rsid w:val="00AF192F"/>
    <w:rsid w:val="00AF49A9"/>
    <w:rsid w:val="00B02D92"/>
    <w:rsid w:val="00B10334"/>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652D1"/>
    <w:rsid w:val="00E655D6"/>
    <w:rsid w:val="00E76D4F"/>
    <w:rsid w:val="00E82705"/>
    <w:rsid w:val="00E92B24"/>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3C7A1B-3DBA-4840-B222-4F3FE661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208</Words>
  <Characters>1148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1354</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7</cp:revision>
  <cp:lastPrinted>2014-11-07T15:04:00Z</cp:lastPrinted>
  <dcterms:created xsi:type="dcterms:W3CDTF">2015-01-28T13:18:00Z</dcterms:created>
  <dcterms:modified xsi:type="dcterms:W3CDTF">2015-01-29T07:30:00Z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