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bookmarkStart w:id="0" w:name="_GoBack"/>
      <w:bookmarkEnd w:id="0"/>
    </w:p>
    <w:p w:rsidR="0059680A" w:rsidRPr="0059680A" w:rsidRDefault="0059680A" w:rsidP="0059680A">
      <w:pPr>
        <w:tabs>
          <w:tab w:val="left" w:pos="9000"/>
        </w:tabs>
        <w:autoSpaceDE w:val="0"/>
        <w:autoSpaceDN w:val="0"/>
        <w:adjustRightInd w:val="0"/>
        <w:jc w:val="center"/>
        <w:rPr>
          <w:rFonts w:ascii="Tahoma" w:hAnsi="Tahoma" w:cs="Tahoma"/>
          <w:b/>
          <w:sz w:val="24"/>
          <w:szCs w:val="24"/>
        </w:rPr>
      </w:pPr>
      <w:r w:rsidRPr="0059680A">
        <w:rPr>
          <w:rFonts w:ascii="Tahoma" w:hAnsi="Tahoma" w:cs="Tahoma"/>
          <w:b/>
          <w:sz w:val="24"/>
          <w:szCs w:val="24"/>
        </w:rPr>
        <w:t>COMPTE-RENDU D’HOSPITALISATION</w:t>
      </w:r>
    </w:p>
    <w:p w:rsidR="0059680A" w:rsidRPr="001B17AD" w:rsidRDefault="0059680A" w:rsidP="0059680A">
      <w:pPr>
        <w:tabs>
          <w:tab w:val="left" w:pos="9000"/>
        </w:tabs>
        <w:autoSpaceDE w:val="0"/>
        <w:autoSpaceDN w:val="0"/>
        <w:adjustRightInd w:val="0"/>
        <w:jc w:val="center"/>
        <w:rPr>
          <w:rFonts w:ascii="Tahoma" w:hAnsi="Tahoma" w:cs="Tahoma"/>
        </w:rPr>
      </w:pPr>
    </w:p>
    <w:p w:rsidR="0059680A" w:rsidRPr="001B17AD" w:rsidRDefault="0059680A" w:rsidP="0059680A">
      <w:pPr>
        <w:tabs>
          <w:tab w:val="left" w:pos="9000"/>
        </w:tabs>
        <w:autoSpaceDE w:val="0"/>
        <w:autoSpaceDN w:val="0"/>
        <w:adjustRightInd w:val="0"/>
        <w:jc w:val="center"/>
        <w:rPr>
          <w:rFonts w:ascii="Tahoma" w:hAnsi="Tahoma" w:cs="Tahoma"/>
        </w:rPr>
      </w:pPr>
    </w:p>
    <w:p w:rsidR="0059680A" w:rsidRPr="001B17AD" w:rsidRDefault="0059680A" w:rsidP="0059680A">
      <w:pPr>
        <w:tabs>
          <w:tab w:val="left" w:pos="9000"/>
        </w:tabs>
        <w:autoSpaceDE w:val="0"/>
        <w:autoSpaceDN w:val="0"/>
        <w:adjustRightInd w:val="0"/>
        <w:rPr>
          <w:rFonts w:ascii="Tahoma" w:hAnsi="Tahoma" w:cs="Tahoma"/>
        </w:rPr>
      </w:pPr>
      <w:r w:rsidRPr="001B17AD">
        <w:rPr>
          <w:rFonts w:ascii="Tahoma" w:hAnsi="Tahoma" w:cs="Tahoma"/>
        </w:rPr>
        <w:t>Nom :</w:t>
      </w:r>
      <w:r>
        <w:rPr>
          <w:rFonts w:ascii="Tahoma" w:hAnsi="Tahoma" w:cs="Tahoma"/>
        </w:rPr>
        <w:t xml:space="preserve"> GEORGES</w:t>
      </w:r>
    </w:p>
    <w:p w:rsidR="0059680A" w:rsidRPr="001B17AD" w:rsidRDefault="0059680A" w:rsidP="0059680A">
      <w:pPr>
        <w:tabs>
          <w:tab w:val="left" w:pos="9000"/>
        </w:tabs>
        <w:autoSpaceDE w:val="0"/>
        <w:autoSpaceDN w:val="0"/>
        <w:adjustRightInd w:val="0"/>
        <w:rPr>
          <w:rFonts w:ascii="Tahoma" w:hAnsi="Tahoma" w:cs="Tahoma"/>
        </w:rPr>
      </w:pPr>
      <w:r w:rsidRPr="001B17AD">
        <w:rPr>
          <w:rFonts w:ascii="Tahoma" w:hAnsi="Tahoma" w:cs="Tahoma"/>
        </w:rPr>
        <w:t xml:space="preserve">Prénom : Aline </w:t>
      </w:r>
    </w:p>
    <w:p w:rsidR="0059680A" w:rsidRPr="001B17AD" w:rsidRDefault="0059680A" w:rsidP="0059680A">
      <w:pPr>
        <w:tabs>
          <w:tab w:val="left" w:pos="9000"/>
        </w:tabs>
        <w:autoSpaceDE w:val="0"/>
        <w:autoSpaceDN w:val="0"/>
        <w:adjustRightInd w:val="0"/>
        <w:rPr>
          <w:rFonts w:ascii="Tahoma" w:hAnsi="Tahoma" w:cs="Tahoma"/>
        </w:rPr>
      </w:pPr>
      <w:r w:rsidRPr="001B17AD">
        <w:rPr>
          <w:rFonts w:ascii="Tahoma" w:hAnsi="Tahoma" w:cs="Tahoma"/>
        </w:rPr>
        <w:t xml:space="preserve">Née le : </w:t>
      </w:r>
      <w:r w:rsidRPr="001B17AD">
        <w:rPr>
          <w:rFonts w:ascii="Tahoma" w:hAnsi="Tahoma" w:cs="Tahoma"/>
          <w:iCs/>
        </w:rPr>
        <w:t xml:space="preserve">08 janvier 1965 </w:t>
      </w:r>
    </w:p>
    <w:p w:rsidR="0059680A" w:rsidRPr="001B17AD" w:rsidRDefault="0059680A" w:rsidP="0059680A">
      <w:pPr>
        <w:tabs>
          <w:tab w:val="left" w:pos="9000"/>
        </w:tabs>
        <w:autoSpaceDE w:val="0"/>
        <w:autoSpaceDN w:val="0"/>
        <w:adjustRightInd w:val="0"/>
        <w:rPr>
          <w:rFonts w:ascii="Tahoma" w:hAnsi="Tahoma" w:cs="Tahoma"/>
          <w:i/>
          <w:iCs/>
        </w:rPr>
      </w:pPr>
      <w:r w:rsidRPr="001B17AD">
        <w:rPr>
          <w:rFonts w:ascii="Tahoma" w:hAnsi="Tahoma" w:cs="Tahoma"/>
        </w:rPr>
        <w:t xml:space="preserve">Mariée </w:t>
      </w:r>
    </w:p>
    <w:p w:rsidR="0059680A" w:rsidRPr="001B17AD" w:rsidRDefault="0059680A" w:rsidP="0059680A">
      <w:pPr>
        <w:tabs>
          <w:tab w:val="left" w:pos="9000"/>
        </w:tabs>
        <w:autoSpaceDE w:val="0"/>
        <w:autoSpaceDN w:val="0"/>
        <w:adjustRightInd w:val="0"/>
        <w:jc w:val="both"/>
        <w:rPr>
          <w:rFonts w:ascii="Tahoma" w:hAnsi="Tahoma" w:cs="Tahoma"/>
          <w:i/>
        </w:rPr>
      </w:pPr>
      <w:r w:rsidRPr="001B17AD">
        <w:rPr>
          <w:rFonts w:ascii="Tahoma" w:hAnsi="Tahoma" w:cs="Tahoma"/>
        </w:rPr>
        <w:t>Date d’entrée</w:t>
      </w:r>
      <w:r w:rsidRPr="001B17AD">
        <w:rPr>
          <w:rFonts w:ascii="Tahoma" w:hAnsi="Tahoma" w:cs="Tahoma"/>
          <w:i/>
          <w:iCs/>
        </w:rPr>
        <w:t xml:space="preserve"> : </w:t>
      </w:r>
      <w:r w:rsidRPr="001B17AD">
        <w:rPr>
          <w:rFonts w:ascii="Tahoma" w:hAnsi="Tahoma" w:cs="Tahoma"/>
          <w:iCs/>
        </w:rPr>
        <w:t>02/05/N</w:t>
      </w:r>
    </w:p>
    <w:p w:rsidR="0059680A" w:rsidRPr="001B17AD" w:rsidRDefault="0059680A" w:rsidP="0059680A">
      <w:pPr>
        <w:tabs>
          <w:tab w:val="left" w:pos="9000"/>
        </w:tabs>
        <w:autoSpaceDE w:val="0"/>
        <w:autoSpaceDN w:val="0"/>
        <w:adjustRightInd w:val="0"/>
        <w:rPr>
          <w:rFonts w:ascii="Tahoma" w:hAnsi="Tahoma" w:cs="Tahoma"/>
          <w:iCs/>
        </w:rPr>
      </w:pPr>
      <w:r w:rsidRPr="001B17AD">
        <w:rPr>
          <w:rFonts w:ascii="Tahoma" w:hAnsi="Tahoma" w:cs="Tahoma"/>
        </w:rPr>
        <w:t xml:space="preserve">Date de sortie : </w:t>
      </w:r>
      <w:r w:rsidRPr="001B17AD">
        <w:rPr>
          <w:rFonts w:ascii="Tahoma" w:hAnsi="Tahoma" w:cs="Tahoma"/>
          <w:iCs/>
        </w:rPr>
        <w:t>15/05/N</w:t>
      </w:r>
    </w:p>
    <w:p w:rsidR="0059680A" w:rsidRPr="001B17AD" w:rsidRDefault="0059680A" w:rsidP="0059680A">
      <w:pPr>
        <w:tabs>
          <w:tab w:val="left" w:pos="9000"/>
        </w:tabs>
        <w:autoSpaceDE w:val="0"/>
        <w:autoSpaceDN w:val="0"/>
        <w:adjustRightInd w:val="0"/>
        <w:rPr>
          <w:rFonts w:ascii="Tahoma" w:hAnsi="Tahoma" w:cs="Tahoma"/>
        </w:rPr>
      </w:pPr>
    </w:p>
    <w:p w:rsidR="0059680A" w:rsidRPr="0059680A" w:rsidRDefault="0059680A" w:rsidP="0059680A">
      <w:pPr>
        <w:tabs>
          <w:tab w:val="left" w:pos="9000"/>
        </w:tabs>
        <w:autoSpaceDE w:val="0"/>
        <w:autoSpaceDN w:val="0"/>
        <w:adjustRightInd w:val="0"/>
        <w:jc w:val="both"/>
        <w:rPr>
          <w:rFonts w:ascii="Tahoma" w:hAnsi="Tahoma" w:cs="Tahoma"/>
        </w:rPr>
      </w:pPr>
      <w:r w:rsidRPr="0059680A">
        <w:rPr>
          <w:rFonts w:ascii="Tahoma" w:hAnsi="Tahoma" w:cs="Tahoma"/>
        </w:rPr>
        <w:t xml:space="preserve">Mme </w:t>
      </w:r>
      <w:r w:rsidRPr="0059680A">
        <w:rPr>
          <w:rFonts w:ascii="Tahoma" w:hAnsi="Tahoma" w:cs="Tahoma"/>
          <w:b/>
        </w:rPr>
        <w:t>GEORGES Aline</w:t>
      </w:r>
      <w:r w:rsidRPr="0059680A">
        <w:rPr>
          <w:rFonts w:ascii="Tahoma" w:hAnsi="Tahoma" w:cs="Tahoma"/>
        </w:rPr>
        <w:t xml:space="preserve"> est admise dans le service pour un trouble complexe de la pe</w:t>
      </w:r>
      <w:r w:rsidRPr="0059680A">
        <w:rPr>
          <w:rFonts w:ascii="Tahoma" w:hAnsi="Tahoma" w:cs="Tahoma"/>
          <w:iCs/>
        </w:rPr>
        <w:t>r</w:t>
      </w:r>
      <w:r w:rsidRPr="0059680A">
        <w:rPr>
          <w:rFonts w:ascii="Tahoma" w:hAnsi="Tahoma" w:cs="Tahoma"/>
        </w:rPr>
        <w:t xml:space="preserve">sonnalité de type psychopathique ou névrotique. </w:t>
      </w:r>
    </w:p>
    <w:p w:rsidR="0059680A" w:rsidRPr="0059680A" w:rsidRDefault="0059680A" w:rsidP="0059680A">
      <w:pPr>
        <w:tabs>
          <w:tab w:val="left" w:pos="9000"/>
        </w:tabs>
        <w:autoSpaceDE w:val="0"/>
        <w:autoSpaceDN w:val="0"/>
        <w:adjustRightInd w:val="0"/>
        <w:rPr>
          <w:rFonts w:ascii="Tahoma" w:hAnsi="Tahoma" w:cs="Tahoma"/>
        </w:rPr>
      </w:pPr>
    </w:p>
    <w:p w:rsidR="0059680A" w:rsidRPr="0059680A" w:rsidRDefault="0059680A" w:rsidP="0059680A">
      <w:pPr>
        <w:tabs>
          <w:tab w:val="left" w:pos="9000"/>
        </w:tabs>
        <w:autoSpaceDE w:val="0"/>
        <w:autoSpaceDN w:val="0"/>
        <w:adjustRightInd w:val="0"/>
        <w:rPr>
          <w:rFonts w:ascii="Tahoma" w:hAnsi="Tahoma" w:cs="Tahoma"/>
        </w:rPr>
      </w:pPr>
      <w:r w:rsidRPr="0059680A">
        <w:rPr>
          <w:rFonts w:ascii="Tahoma" w:hAnsi="Tahoma" w:cs="Tahoma"/>
          <w:u w:val="single"/>
        </w:rPr>
        <w:t xml:space="preserve">HISTOIRE DE </w:t>
      </w:r>
      <w:smartTag w:uri="urn:schemas-microsoft-com:office:smarttags" w:element="PersonName">
        <w:smartTagPr>
          <w:attr w:name="ProductID" w:val="LA MALADIE"/>
        </w:smartTagPr>
        <w:r w:rsidRPr="0059680A">
          <w:rPr>
            <w:rFonts w:ascii="Tahoma" w:hAnsi="Tahoma" w:cs="Tahoma"/>
            <w:u w:val="single"/>
          </w:rPr>
          <w:t>LA MALADIE</w:t>
        </w:r>
      </w:smartTag>
      <w:r w:rsidRPr="0059680A">
        <w:rPr>
          <w:rFonts w:ascii="Tahoma" w:hAnsi="Tahoma" w:cs="Tahoma"/>
        </w:rPr>
        <w:t xml:space="preserve"> :</w:t>
      </w:r>
      <w:r w:rsidRPr="0059680A">
        <w:rPr>
          <w:rFonts w:ascii="Tahoma" w:hAnsi="Tahoma" w:cs="Tahoma"/>
          <w:iCs/>
        </w:rPr>
        <w:t xml:space="preserve"> </w:t>
      </w:r>
    </w:p>
    <w:p w:rsidR="0059680A" w:rsidRPr="0059680A" w:rsidRDefault="0059680A" w:rsidP="0059680A">
      <w:pPr>
        <w:tabs>
          <w:tab w:val="left" w:pos="9000"/>
        </w:tabs>
        <w:autoSpaceDE w:val="0"/>
        <w:autoSpaceDN w:val="0"/>
        <w:adjustRightInd w:val="0"/>
        <w:rPr>
          <w:rFonts w:ascii="Tahoma" w:hAnsi="Tahoma" w:cs="Tahoma"/>
        </w:rPr>
      </w:pPr>
    </w:p>
    <w:p w:rsidR="0059680A" w:rsidRPr="0059680A" w:rsidRDefault="0059680A" w:rsidP="0059680A">
      <w:pPr>
        <w:tabs>
          <w:tab w:val="left" w:pos="9000"/>
        </w:tabs>
        <w:autoSpaceDE w:val="0"/>
        <w:autoSpaceDN w:val="0"/>
        <w:adjustRightInd w:val="0"/>
        <w:jc w:val="both"/>
        <w:rPr>
          <w:rFonts w:ascii="Tahoma" w:hAnsi="Tahoma" w:cs="Tahoma"/>
          <w:iCs/>
        </w:rPr>
      </w:pPr>
      <w:r w:rsidRPr="0059680A">
        <w:rPr>
          <w:rFonts w:ascii="Tahoma" w:hAnsi="Tahoma" w:cs="Tahoma"/>
        </w:rPr>
        <w:t xml:space="preserve">En 1998, elle accouche à </w:t>
      </w:r>
      <w:smartTag w:uri="urn:schemas-microsoft-com:office:smarttags" w:element="PersonName">
        <w:smartTagPr>
          <w:attr w:name="ProductID" w:val="la Clinique"/>
        </w:smartTagPr>
        <w:r w:rsidRPr="0059680A">
          <w:rPr>
            <w:rFonts w:ascii="Tahoma" w:hAnsi="Tahoma" w:cs="Tahoma"/>
          </w:rPr>
          <w:t>la Clinique</w:t>
        </w:r>
      </w:smartTag>
      <w:r w:rsidRPr="0059680A">
        <w:rPr>
          <w:rFonts w:ascii="Tahoma" w:hAnsi="Tahoma" w:cs="Tahoma"/>
        </w:rPr>
        <w:t xml:space="preserve"> des Lilas d’'un enfant </w:t>
      </w:r>
      <w:proofErr w:type="spellStart"/>
      <w:r w:rsidRPr="0059680A">
        <w:rPr>
          <w:rFonts w:ascii="Tahoma" w:hAnsi="Tahoma" w:cs="Tahoma"/>
        </w:rPr>
        <w:t>mort né</w:t>
      </w:r>
      <w:proofErr w:type="spellEnd"/>
      <w:r w:rsidRPr="0059680A">
        <w:rPr>
          <w:rFonts w:ascii="Tahoma" w:hAnsi="Tahoma" w:cs="Tahoma"/>
        </w:rPr>
        <w:t>. Cet épisode a été suivi, semble-t-il d'une psychose puerpérale</w:t>
      </w:r>
      <w:r w:rsidRPr="0059680A">
        <w:rPr>
          <w:rStyle w:val="Appelnotedebasdep"/>
          <w:rFonts w:ascii="Tahoma" w:hAnsi="Tahoma" w:cs="Tahoma"/>
        </w:rPr>
        <w:footnoteReference w:id="1"/>
      </w:r>
      <w:r w:rsidRPr="0059680A">
        <w:rPr>
          <w:rFonts w:ascii="Tahoma" w:hAnsi="Tahoma" w:cs="Tahoma"/>
        </w:rPr>
        <w:t>. Elle fait alors un séjour en clinique psychiatrique pour cure de sommeil.</w:t>
      </w:r>
    </w:p>
    <w:p w:rsidR="0059680A" w:rsidRPr="0059680A" w:rsidRDefault="0059680A" w:rsidP="0059680A">
      <w:pPr>
        <w:tabs>
          <w:tab w:val="left" w:pos="9000"/>
        </w:tabs>
        <w:autoSpaceDE w:val="0"/>
        <w:autoSpaceDN w:val="0"/>
        <w:adjustRightInd w:val="0"/>
        <w:rPr>
          <w:rFonts w:ascii="Tahoma" w:hAnsi="Tahoma" w:cs="Tahoma"/>
        </w:rPr>
      </w:pPr>
    </w:p>
    <w:p w:rsidR="0059680A" w:rsidRPr="0059680A" w:rsidRDefault="0059680A" w:rsidP="0059680A">
      <w:pPr>
        <w:tabs>
          <w:tab w:val="left" w:pos="9000"/>
        </w:tabs>
        <w:autoSpaceDE w:val="0"/>
        <w:autoSpaceDN w:val="0"/>
        <w:adjustRightInd w:val="0"/>
        <w:jc w:val="both"/>
        <w:rPr>
          <w:rFonts w:ascii="Tahoma" w:hAnsi="Tahoma" w:cs="Tahoma"/>
        </w:rPr>
      </w:pPr>
      <w:r w:rsidRPr="0059680A">
        <w:rPr>
          <w:rFonts w:ascii="Tahoma" w:hAnsi="Tahoma" w:cs="Tahoma"/>
        </w:rPr>
        <w:t>Par la suite, la situation se dégrade progressivement. En mars 2000, elle est victime d'un accident de la voie publique avec traumatisme cranio-facial.</w:t>
      </w:r>
    </w:p>
    <w:p w:rsidR="0059680A" w:rsidRPr="0059680A" w:rsidRDefault="0059680A" w:rsidP="0059680A">
      <w:pPr>
        <w:tabs>
          <w:tab w:val="left" w:pos="9000"/>
        </w:tabs>
        <w:autoSpaceDE w:val="0"/>
        <w:autoSpaceDN w:val="0"/>
        <w:adjustRightInd w:val="0"/>
        <w:jc w:val="both"/>
        <w:rPr>
          <w:rFonts w:ascii="Tahoma" w:hAnsi="Tahoma" w:cs="Tahoma"/>
        </w:rPr>
      </w:pPr>
    </w:p>
    <w:p w:rsidR="0059680A" w:rsidRDefault="0059680A" w:rsidP="0059680A">
      <w:pPr>
        <w:tabs>
          <w:tab w:val="left" w:pos="9000"/>
        </w:tabs>
        <w:autoSpaceDE w:val="0"/>
        <w:autoSpaceDN w:val="0"/>
        <w:adjustRightInd w:val="0"/>
        <w:jc w:val="both"/>
        <w:rPr>
          <w:rFonts w:ascii="Tahoma" w:hAnsi="Tahoma" w:cs="Tahoma"/>
        </w:rPr>
      </w:pPr>
      <w:r w:rsidRPr="0059680A">
        <w:rPr>
          <w:rFonts w:ascii="Tahoma" w:hAnsi="Tahoma" w:cs="Tahoma"/>
        </w:rPr>
        <w:t>A ce jour, outre des conditions de vie déplorables du fait de la perte de son activité professionnelle, de sa tendance hypocondriaque, son état général est très médiocre et par conséquent la confine à une misère physiologique et psychologique : on note un état dépressif avec adynamie, psychasthénie</w:t>
      </w:r>
      <w:r w:rsidRPr="0059680A">
        <w:rPr>
          <w:rStyle w:val="Appelnotedebasdep"/>
          <w:rFonts w:ascii="Tahoma" w:hAnsi="Tahoma" w:cs="Tahoma"/>
        </w:rPr>
        <w:footnoteReference w:id="2"/>
      </w:r>
      <w:r w:rsidRPr="0059680A">
        <w:rPr>
          <w:rFonts w:ascii="Tahoma" w:hAnsi="Tahoma" w:cs="Tahoma"/>
        </w:rPr>
        <w:t xml:space="preserve"> avec idée d'autolyse</w:t>
      </w:r>
      <w:r w:rsidRPr="0059680A">
        <w:rPr>
          <w:rStyle w:val="Appelnotedebasdep"/>
          <w:rFonts w:ascii="Tahoma" w:hAnsi="Tahoma" w:cs="Tahoma"/>
        </w:rPr>
        <w:footnoteReference w:id="3"/>
      </w:r>
      <w:r w:rsidRPr="0059680A">
        <w:rPr>
          <w:rFonts w:ascii="Tahoma" w:hAnsi="Tahoma" w:cs="Tahoma"/>
        </w:rPr>
        <w:t>.</w:t>
      </w:r>
    </w:p>
    <w:p w:rsidR="0059680A" w:rsidRPr="0059680A" w:rsidRDefault="0059680A" w:rsidP="0059680A">
      <w:pPr>
        <w:tabs>
          <w:tab w:val="left" w:pos="9000"/>
        </w:tabs>
        <w:autoSpaceDE w:val="0"/>
        <w:autoSpaceDN w:val="0"/>
        <w:adjustRightInd w:val="0"/>
        <w:jc w:val="both"/>
        <w:rPr>
          <w:rFonts w:ascii="Tahoma" w:hAnsi="Tahoma" w:cs="Tahoma"/>
        </w:rPr>
      </w:pPr>
    </w:p>
    <w:p w:rsidR="0059680A" w:rsidRPr="0059680A" w:rsidRDefault="0059680A" w:rsidP="0059680A">
      <w:pPr>
        <w:tabs>
          <w:tab w:val="left" w:pos="9000"/>
        </w:tabs>
        <w:autoSpaceDE w:val="0"/>
        <w:autoSpaceDN w:val="0"/>
        <w:adjustRightInd w:val="0"/>
        <w:jc w:val="both"/>
        <w:rPr>
          <w:rFonts w:ascii="Tahoma" w:hAnsi="Tahoma" w:cs="Tahoma"/>
          <w:iCs/>
        </w:rPr>
      </w:pPr>
      <w:r w:rsidRPr="0059680A">
        <w:rPr>
          <w:rFonts w:ascii="Tahoma" w:hAnsi="Tahoma" w:cs="Tahoma"/>
        </w:rPr>
        <w:t>Elle décrit une agoraphobie qui l'empêche de sortir hors de chez elle. Elle lutte contre des insomnies omniprésentes</w:t>
      </w:r>
      <w:r w:rsidRPr="009C4FF6">
        <w:rPr>
          <w:rFonts w:ascii="Tahoma" w:hAnsi="Tahoma" w:cs="Tahoma"/>
        </w:rPr>
        <w:t xml:space="preserve"> par </w:t>
      </w:r>
      <w:r w:rsidRPr="0059680A">
        <w:rPr>
          <w:rFonts w:ascii="Tahoma" w:hAnsi="Tahoma" w:cs="Tahoma"/>
        </w:rPr>
        <w:t xml:space="preserve">une </w:t>
      </w:r>
      <w:proofErr w:type="spellStart"/>
      <w:r w:rsidRPr="0059680A">
        <w:rPr>
          <w:rFonts w:ascii="Tahoma" w:hAnsi="Tahoma" w:cs="Tahoma"/>
        </w:rPr>
        <w:t>polymédication</w:t>
      </w:r>
      <w:proofErr w:type="spellEnd"/>
      <w:r w:rsidRPr="0059680A">
        <w:rPr>
          <w:rFonts w:ascii="Tahoma" w:hAnsi="Tahoma" w:cs="Tahoma"/>
        </w:rPr>
        <w:t xml:space="preserve"> associant anxiolytique, somnifère barbiturique et quelques </w:t>
      </w:r>
      <w:r w:rsidR="009C4FF6">
        <w:rPr>
          <w:rFonts w:ascii="Tahoma" w:hAnsi="Tahoma" w:cs="Tahoma"/>
        </w:rPr>
        <w:t>doses de neuroleptique</w:t>
      </w:r>
      <w:r>
        <w:rPr>
          <w:rFonts w:ascii="Tahoma" w:hAnsi="Tahoma" w:cs="Tahoma"/>
        </w:rPr>
        <w:t>.</w:t>
      </w:r>
    </w:p>
    <w:p w:rsidR="0059680A" w:rsidRPr="0059680A" w:rsidRDefault="0059680A" w:rsidP="0059680A">
      <w:pPr>
        <w:tabs>
          <w:tab w:val="left" w:pos="9000"/>
        </w:tabs>
        <w:autoSpaceDE w:val="0"/>
        <w:autoSpaceDN w:val="0"/>
        <w:adjustRightInd w:val="0"/>
        <w:jc w:val="both"/>
        <w:rPr>
          <w:rFonts w:ascii="Tahoma" w:hAnsi="Tahoma" w:cs="Tahoma"/>
          <w:iCs/>
        </w:rPr>
      </w:pPr>
    </w:p>
    <w:p w:rsidR="0059680A" w:rsidRPr="0059680A" w:rsidRDefault="0059680A" w:rsidP="0059680A">
      <w:pPr>
        <w:tabs>
          <w:tab w:val="left" w:pos="9000"/>
        </w:tabs>
        <w:autoSpaceDE w:val="0"/>
        <w:autoSpaceDN w:val="0"/>
        <w:adjustRightInd w:val="0"/>
        <w:jc w:val="both"/>
        <w:rPr>
          <w:rFonts w:ascii="Tahoma" w:hAnsi="Tahoma" w:cs="Tahoma"/>
          <w:iCs/>
        </w:rPr>
      </w:pPr>
      <w:r w:rsidRPr="0059680A">
        <w:rPr>
          <w:rFonts w:ascii="Tahoma" w:hAnsi="Tahoma" w:cs="Tahoma"/>
        </w:rPr>
        <w:t>Une exogène (alcoolisme probable) facilement avouée est confirmée par des trémulations</w:t>
      </w:r>
      <w:r w:rsidRPr="0059680A">
        <w:rPr>
          <w:rStyle w:val="Appelnotedebasdep"/>
          <w:rFonts w:ascii="Tahoma" w:hAnsi="Tahoma" w:cs="Tahoma"/>
        </w:rPr>
        <w:footnoteReference w:id="4"/>
      </w:r>
      <w:r w:rsidRPr="0059680A">
        <w:rPr>
          <w:rFonts w:ascii="Tahoma" w:hAnsi="Tahoma" w:cs="Tahoma"/>
        </w:rPr>
        <w:t xml:space="preserve"> fines des extrémités, un certain degré de dysarthrie, et un </w:t>
      </w:r>
      <w:proofErr w:type="spellStart"/>
      <w:r w:rsidRPr="0059680A">
        <w:rPr>
          <w:rFonts w:ascii="Tahoma" w:hAnsi="Tahoma" w:cs="Tahoma"/>
        </w:rPr>
        <w:t>sub</w:t>
      </w:r>
      <w:proofErr w:type="spellEnd"/>
      <w:r w:rsidRPr="0059680A">
        <w:rPr>
          <w:rFonts w:ascii="Tahoma" w:hAnsi="Tahoma" w:cs="Tahoma"/>
        </w:rPr>
        <w:t>-ictère conjonctival.</w:t>
      </w:r>
    </w:p>
    <w:p w:rsidR="0059680A" w:rsidRPr="0059680A" w:rsidRDefault="0059680A" w:rsidP="0059680A">
      <w:pPr>
        <w:tabs>
          <w:tab w:val="left" w:pos="9000"/>
        </w:tabs>
        <w:autoSpaceDE w:val="0"/>
        <w:autoSpaceDN w:val="0"/>
        <w:adjustRightInd w:val="0"/>
        <w:jc w:val="both"/>
        <w:rPr>
          <w:rFonts w:ascii="Tahoma" w:hAnsi="Tahoma" w:cs="Tahoma"/>
        </w:rPr>
      </w:pPr>
    </w:p>
    <w:p w:rsidR="0059680A" w:rsidRPr="0059680A" w:rsidRDefault="0059680A" w:rsidP="0059680A">
      <w:pPr>
        <w:tabs>
          <w:tab w:val="left" w:pos="9000"/>
        </w:tabs>
        <w:autoSpaceDE w:val="0"/>
        <w:autoSpaceDN w:val="0"/>
        <w:adjustRightInd w:val="0"/>
        <w:jc w:val="both"/>
        <w:rPr>
          <w:rFonts w:ascii="Tahoma" w:hAnsi="Tahoma" w:cs="Tahoma"/>
          <w:iCs/>
        </w:rPr>
      </w:pPr>
      <w:r w:rsidRPr="0059680A">
        <w:rPr>
          <w:rFonts w:ascii="Tahoma" w:hAnsi="Tahoma" w:cs="Tahoma"/>
          <w:u w:val="single"/>
        </w:rPr>
        <w:t>AU TOTAL</w:t>
      </w:r>
      <w:r w:rsidRPr="0059680A">
        <w:rPr>
          <w:rFonts w:ascii="Tahoma" w:hAnsi="Tahoma" w:cs="Tahoma"/>
        </w:rPr>
        <w:t xml:space="preserve"> :</w:t>
      </w:r>
      <w:r w:rsidRPr="0059680A">
        <w:rPr>
          <w:rFonts w:ascii="Tahoma" w:hAnsi="Tahoma" w:cs="Tahoma"/>
          <w:iCs/>
        </w:rPr>
        <w:t xml:space="preserve"> </w:t>
      </w:r>
    </w:p>
    <w:p w:rsidR="0059680A" w:rsidRPr="0059680A" w:rsidRDefault="0059680A" w:rsidP="0059680A">
      <w:pPr>
        <w:tabs>
          <w:tab w:val="left" w:pos="9000"/>
        </w:tabs>
        <w:autoSpaceDE w:val="0"/>
        <w:autoSpaceDN w:val="0"/>
        <w:adjustRightInd w:val="0"/>
        <w:jc w:val="both"/>
        <w:rPr>
          <w:rFonts w:ascii="Tahoma" w:hAnsi="Tahoma" w:cs="Tahoma"/>
        </w:rPr>
      </w:pPr>
    </w:p>
    <w:p w:rsidR="001055D0" w:rsidRPr="0059680A" w:rsidRDefault="0059680A" w:rsidP="0059680A">
      <w:pPr>
        <w:widowControl w:val="0"/>
        <w:autoSpaceDE w:val="0"/>
        <w:autoSpaceDN w:val="0"/>
        <w:adjustRightInd w:val="0"/>
        <w:spacing w:line="235" w:lineRule="atLeast"/>
        <w:jc w:val="both"/>
        <w:rPr>
          <w:rFonts w:ascii="Tahoma" w:hAnsi="Tahoma" w:cs="Tahoma"/>
        </w:rPr>
      </w:pPr>
      <w:r w:rsidRPr="0059680A">
        <w:rPr>
          <w:rFonts w:ascii="Tahoma" w:hAnsi="Tahoma" w:cs="Tahoma"/>
        </w:rPr>
        <w:t>Mme GEORGES Aline présente des troubles graves de psychopathique avec hypocondrie.</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C06F68"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E73A13"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F68" w:rsidRDefault="00C06F68">
      <w:r>
        <w:separator/>
      </w:r>
    </w:p>
  </w:endnote>
  <w:endnote w:type="continuationSeparator" w:id="0">
    <w:p w:rsidR="00C06F68" w:rsidRDefault="00C0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294E9B">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294E9B">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294E9B">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94E9B">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F68" w:rsidRDefault="00C06F68">
      <w:r>
        <w:separator/>
      </w:r>
    </w:p>
  </w:footnote>
  <w:footnote w:type="continuationSeparator" w:id="0">
    <w:p w:rsidR="00C06F68" w:rsidRDefault="00C06F68">
      <w:r>
        <w:continuationSeparator/>
      </w:r>
    </w:p>
  </w:footnote>
  <w:footnote w:id="1">
    <w:p w:rsidR="0059680A" w:rsidRDefault="0059680A" w:rsidP="0059680A">
      <w:pPr>
        <w:pStyle w:val="Notedebasdepage"/>
      </w:pPr>
      <w:r>
        <w:rPr>
          <w:rStyle w:val="Appelnotedebasdep"/>
        </w:rPr>
        <w:footnoteRef/>
      </w:r>
      <w:r>
        <w:t xml:space="preserve"> Crise psychotique suivant la fin de grossesse. </w:t>
      </w:r>
    </w:p>
  </w:footnote>
  <w:footnote w:id="2">
    <w:p w:rsidR="0059680A" w:rsidRDefault="0059680A" w:rsidP="0059680A">
      <w:pPr>
        <w:pStyle w:val="Notedebasdepage"/>
      </w:pPr>
      <w:r>
        <w:rPr>
          <w:rStyle w:val="Appelnotedebasdep"/>
        </w:rPr>
        <w:footnoteRef/>
      </w:r>
      <w:r>
        <w:t xml:space="preserve"> Diminution ou disparition de volonté entrainant des difficultés à entamer des actions. </w:t>
      </w:r>
    </w:p>
  </w:footnote>
  <w:footnote w:id="3">
    <w:p w:rsidR="0059680A" w:rsidRDefault="0059680A" w:rsidP="0059680A">
      <w:pPr>
        <w:pStyle w:val="Notedebasdepage"/>
      </w:pPr>
      <w:r>
        <w:rPr>
          <w:rStyle w:val="Appelnotedebasdep"/>
        </w:rPr>
        <w:footnoteRef/>
      </w:r>
      <w:r>
        <w:t xml:space="preserve"> Atteinte portée à soi-même. </w:t>
      </w:r>
    </w:p>
  </w:footnote>
  <w:footnote w:id="4">
    <w:p w:rsidR="0059680A" w:rsidRDefault="0059680A" w:rsidP="0059680A">
      <w:pPr>
        <w:pStyle w:val="Notedebasdepage"/>
      </w:pPr>
      <w:r>
        <w:rPr>
          <w:rStyle w:val="Appelnotedebasdep"/>
        </w:rPr>
        <w:footnoteRef/>
      </w:r>
      <w:r>
        <w:t xml:space="preserve"> Tremblements incessants.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294E9B">
                            <w:rPr>
                              <w:sz w:val="36"/>
                              <w:szCs w:val="36"/>
                            </w:rPr>
                            <w:t>2</w:t>
                          </w:r>
                          <w:r w:rsidR="00A22BE2">
                            <w:rPr>
                              <w:sz w:val="36"/>
                              <w:szCs w:val="36"/>
                            </w:rPr>
                            <w:t xml:space="preserve"> – </w:t>
                          </w:r>
                          <w:r w:rsidR="00294E9B">
                            <w:rPr>
                              <w:sz w:val="36"/>
                              <w:szCs w:val="36"/>
                            </w:rPr>
                            <w:t>série2</w:t>
                          </w:r>
                          <w:r w:rsidR="00A22BE2">
                            <w:rPr>
                              <w:sz w:val="36"/>
                              <w:szCs w:val="36"/>
                            </w:rPr>
                            <w:t xml:space="preserve"> - </w:t>
                          </w:r>
                          <w:r w:rsidR="00294E9B">
                            <w:rPr>
                              <w:sz w:val="36"/>
                              <w:szCs w:val="36"/>
                            </w:rPr>
                            <w:t>1</w:t>
                          </w:r>
                          <w:r w:rsidR="00A22BE2">
                            <w:rPr>
                              <w:sz w:val="36"/>
                              <w:szCs w:val="36"/>
                            </w:rPr>
                            <w:t>5</w:t>
                          </w:r>
                          <w:r w:rsidR="00B43969">
                            <w:rPr>
                              <w:sz w:val="36"/>
                              <w:szCs w:val="36"/>
                            </w:rPr>
                            <w:t xml:space="preserve"> </w:t>
                          </w:r>
                          <w:r w:rsidR="00346B61">
                            <w:rPr>
                              <w:sz w:val="36"/>
                              <w:szCs w:val="36"/>
                            </w:rPr>
                            <w:t>–</w:t>
                          </w:r>
                          <w:r w:rsidR="002C6AF0">
                            <w:rPr>
                              <w:sz w:val="36"/>
                              <w:szCs w:val="36"/>
                            </w:rPr>
                            <w:t xml:space="preserve"> </w:t>
                          </w:r>
                          <w:proofErr w:type="spellStart"/>
                          <w:r w:rsidR="00A22BE2">
                            <w:rPr>
                              <w:sz w:val="36"/>
                              <w:szCs w:val="36"/>
                            </w:rPr>
                            <w:t>georges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294E9B">
                      <w:rPr>
                        <w:sz w:val="36"/>
                        <w:szCs w:val="36"/>
                      </w:rPr>
                      <w:t>2</w:t>
                    </w:r>
                    <w:r w:rsidR="00A22BE2">
                      <w:rPr>
                        <w:sz w:val="36"/>
                        <w:szCs w:val="36"/>
                      </w:rPr>
                      <w:t xml:space="preserve"> – </w:t>
                    </w:r>
                    <w:r w:rsidR="00294E9B">
                      <w:rPr>
                        <w:sz w:val="36"/>
                        <w:szCs w:val="36"/>
                      </w:rPr>
                      <w:t>série2</w:t>
                    </w:r>
                    <w:r w:rsidR="00A22BE2">
                      <w:rPr>
                        <w:sz w:val="36"/>
                        <w:szCs w:val="36"/>
                      </w:rPr>
                      <w:t xml:space="preserve"> - </w:t>
                    </w:r>
                    <w:r w:rsidR="00294E9B">
                      <w:rPr>
                        <w:sz w:val="36"/>
                        <w:szCs w:val="36"/>
                      </w:rPr>
                      <w:t>1</w:t>
                    </w:r>
                    <w:r w:rsidR="00A22BE2">
                      <w:rPr>
                        <w:sz w:val="36"/>
                        <w:szCs w:val="36"/>
                      </w:rPr>
                      <w:t>5</w:t>
                    </w:r>
                    <w:r w:rsidR="00B43969">
                      <w:rPr>
                        <w:sz w:val="36"/>
                        <w:szCs w:val="36"/>
                      </w:rPr>
                      <w:t xml:space="preserve"> </w:t>
                    </w:r>
                    <w:r w:rsidR="00346B61">
                      <w:rPr>
                        <w:sz w:val="36"/>
                        <w:szCs w:val="36"/>
                      </w:rPr>
                      <w:t>–</w:t>
                    </w:r>
                    <w:r w:rsidR="002C6AF0">
                      <w:rPr>
                        <w:sz w:val="36"/>
                        <w:szCs w:val="36"/>
                      </w:rPr>
                      <w:t xml:space="preserve"> </w:t>
                    </w:r>
                    <w:proofErr w:type="spellStart"/>
                    <w:r w:rsidR="00A22BE2">
                      <w:rPr>
                        <w:sz w:val="36"/>
                        <w:szCs w:val="36"/>
                      </w:rPr>
                      <w:t>georges</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294E9B">
                            <w:rPr>
                              <w:sz w:val="24"/>
                              <w:szCs w:val="24"/>
                            </w:rPr>
                            <w:t>P2 – série2</w:t>
                          </w:r>
                          <w:r w:rsidR="00A22BE2">
                            <w:rPr>
                              <w:sz w:val="24"/>
                              <w:szCs w:val="24"/>
                            </w:rPr>
                            <w:t xml:space="preserve"> – </w:t>
                          </w:r>
                          <w:r w:rsidR="00294E9B">
                            <w:rPr>
                              <w:sz w:val="24"/>
                              <w:szCs w:val="24"/>
                            </w:rPr>
                            <w:t>1</w:t>
                          </w:r>
                          <w:r w:rsidR="00A22BE2">
                            <w:rPr>
                              <w:sz w:val="24"/>
                              <w:szCs w:val="24"/>
                            </w:rPr>
                            <w:t xml:space="preserve">5 – </w:t>
                          </w:r>
                          <w:proofErr w:type="spellStart"/>
                          <w:r w:rsidR="00A22BE2">
                            <w:rPr>
                              <w:sz w:val="24"/>
                              <w:szCs w:val="24"/>
                            </w:rPr>
                            <w:t>georges</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294E9B">
                      <w:rPr>
                        <w:sz w:val="24"/>
                        <w:szCs w:val="24"/>
                      </w:rPr>
                      <w:t>P2 – série2</w:t>
                    </w:r>
                    <w:r w:rsidR="00A22BE2">
                      <w:rPr>
                        <w:sz w:val="24"/>
                        <w:szCs w:val="24"/>
                      </w:rPr>
                      <w:t xml:space="preserve"> – </w:t>
                    </w:r>
                    <w:r w:rsidR="00294E9B">
                      <w:rPr>
                        <w:sz w:val="24"/>
                        <w:szCs w:val="24"/>
                      </w:rPr>
                      <w:t>1</w:t>
                    </w:r>
                    <w:r w:rsidR="00A22BE2">
                      <w:rPr>
                        <w:sz w:val="24"/>
                        <w:szCs w:val="24"/>
                      </w:rPr>
                      <w:t xml:space="preserve">5 – </w:t>
                    </w:r>
                    <w:proofErr w:type="spellStart"/>
                    <w:r w:rsidR="00A22BE2">
                      <w:rPr>
                        <w:sz w:val="24"/>
                        <w:szCs w:val="24"/>
                      </w:rPr>
                      <w:t>georges</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94E9B"/>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65E66"/>
    <w:rsid w:val="005714BE"/>
    <w:rsid w:val="00576618"/>
    <w:rsid w:val="005804BB"/>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96E76"/>
    <w:rsid w:val="009A188B"/>
    <w:rsid w:val="009A38E1"/>
    <w:rsid w:val="009C4F44"/>
    <w:rsid w:val="009C4FF6"/>
    <w:rsid w:val="009C5521"/>
    <w:rsid w:val="009C64B6"/>
    <w:rsid w:val="009C6C19"/>
    <w:rsid w:val="009D09CA"/>
    <w:rsid w:val="009D26AA"/>
    <w:rsid w:val="009D4501"/>
    <w:rsid w:val="009E6D18"/>
    <w:rsid w:val="009F5045"/>
    <w:rsid w:val="009F6A61"/>
    <w:rsid w:val="00A14321"/>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06F68"/>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50978"/>
    <w:rsid w:val="00E5377A"/>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E6CBB95A-67A7-428F-B127-58103B3C0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335</Words>
  <Characters>1848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2179</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2015-01-28T15:50:00Z</dcterms:created>
  <dcterms:modified xsi:type="dcterms:W3CDTF">2015-01-29T07:38:00Z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