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Company Data Privacy Policy</w:t>
      </w:r>
    </w:p>
    <w:p>
      <w:pPr>
        <w:pStyle w:val="Body A"/>
        <w:jc w:val="center"/>
        <w:rPr>
          <w:sz w:val="26"/>
          <w:szCs w:val="26"/>
        </w:rPr>
      </w:pP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document outlines the principles for handling personal and sensitive data</w:t>
      </w: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within the company. The policy ensures compliance with industry standards and</w:t>
      </w: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legal regulations.</w:t>
      </w:r>
    </w:p>
    <w:p>
      <w:pPr>
        <w:pStyle w:val="Body A"/>
        <w:jc w:val="center"/>
        <w:rPr>
          <w:sz w:val="26"/>
          <w:szCs w:val="26"/>
        </w:rPr>
      </w:pP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All employees must take reasonable steps to protect confidential information.</w:t>
      </w: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Customer data should never be shared with unauthorized parties. When possible,</w:t>
      </w: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data must be anonymized before analysis.</w:t>
      </w:r>
    </w:p>
    <w:p>
      <w:pPr>
        <w:pStyle w:val="Body A"/>
        <w:jc w:val="center"/>
        <w:rPr>
          <w:sz w:val="26"/>
          <w:szCs w:val="26"/>
        </w:rPr>
      </w:pPr>
    </w:p>
    <w:p>
      <w:pPr>
        <w:pStyle w:val="Body A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primary objective of this policy is to maintain trust and demonstrate</w:t>
      </w:r>
    </w:p>
    <w:p>
      <w:pPr>
        <w:pStyle w:val="Body A"/>
        <w:jc w:val="center"/>
      </w:pPr>
      <w:r>
        <w:rPr>
          <w:sz w:val="26"/>
          <w:szCs w:val="26"/>
          <w:rtl w:val="0"/>
          <w:lang w:val="en-US"/>
        </w:rPr>
        <w:t>responsible data management practices.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