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F0A" w:rsidRPr="00ED6B28" w:rsidRDefault="00114F0A" w:rsidP="00114F0A">
      <w:pPr>
        <w:pStyle w:val="TEKSTASnumeruotas"/>
        <w:spacing w:before="0"/>
        <w:ind w:left="0" w:firstLine="397"/>
        <w:rPr>
          <w:color w:val="auto"/>
        </w:rPr>
      </w:pPr>
      <w:proofErr w:type="spellStart"/>
      <w:r w:rsidRPr="00ED6B28">
        <w:rPr>
          <w:color w:val="auto"/>
        </w:rPr>
        <w:t>With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finite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mixture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model-based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approach</w:t>
      </w:r>
      <w:proofErr w:type="spellEnd"/>
      <w:r w:rsidRPr="00ED6B28">
        <w:rPr>
          <w:color w:val="auto"/>
        </w:rPr>
        <w:t xml:space="preserve"> to </w:t>
      </w:r>
      <w:proofErr w:type="spellStart"/>
      <w:r w:rsidRPr="00ED6B28">
        <w:rPr>
          <w:color w:val="auto"/>
        </w:rPr>
        <w:t>density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estimation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and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clustering</w:t>
      </w:r>
      <w:proofErr w:type="spellEnd"/>
      <w:r w:rsidRPr="00ED6B28">
        <w:rPr>
          <w:color w:val="auto"/>
        </w:rPr>
        <w:t xml:space="preserve">,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density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of</w:t>
      </w:r>
      <w:proofErr w:type="spellEnd"/>
      <w:r w:rsidRPr="00ED6B28">
        <w:rPr>
          <w:color w:val="auto"/>
        </w:rPr>
        <w:t xml:space="preserve">  </w:t>
      </w:r>
      <m:oMath>
        <m:r>
          <w:rPr>
            <w:rFonts w:ascii="Cambria Math" w:hAnsi="Cambria Math"/>
            <w:color w:val="auto"/>
          </w:rPr>
          <m:t>X</m:t>
        </m:r>
      </m:oMath>
      <w:r w:rsidRPr="00ED6B28">
        <w:rPr>
          <w:color w:val="auto"/>
        </w:rPr>
        <w:t xml:space="preserve"> is modeled as a mixture of a number </w:t>
      </w:r>
      <m:oMath>
        <m:r>
          <w:rPr>
            <w:rFonts w:ascii="Cambria Math" w:hAnsi="Cambria Math"/>
            <w:color w:val="auto"/>
          </w:rPr>
          <m:t>J</m:t>
        </m:r>
      </m:oMath>
      <w:r w:rsidRPr="00ED6B28">
        <w:rPr>
          <w:color w:val="auto"/>
        </w:rPr>
        <w:t xml:space="preserve"> of component densities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  <m:r>
          <w:rPr>
            <w:rFonts w:ascii="Cambria Math" w:hAnsi="Cambria Math"/>
            <w:color w:val="auto"/>
          </w:rPr>
          <m:t>(x)</m:t>
        </m:r>
      </m:oMath>
      <w:r w:rsidRPr="00ED6B28">
        <w:rPr>
          <w:color w:val="auto"/>
        </w:rPr>
        <w:t xml:space="preserve"> in some unknown proportions. The model can be mathematically described as a FMM on the data points, where it is unknown which mixture, or subpopulation, each data points belongs to. </w:t>
      </w:r>
      <w:proofErr w:type="spellStart"/>
      <w:r w:rsidRPr="00ED6B28">
        <w:rPr>
          <w:color w:val="auto"/>
        </w:rPr>
        <w:t>In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other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words</w:t>
      </w:r>
      <w:proofErr w:type="spellEnd"/>
      <w:r w:rsidRPr="00ED6B28">
        <w:rPr>
          <w:color w:val="auto"/>
        </w:rPr>
        <w:t xml:space="preserve">, </w:t>
      </w:r>
      <w:r w:rsidRPr="00ED6B28">
        <w:rPr>
          <w:rStyle w:val="hgkelc"/>
          <w:color w:val="auto"/>
          <w:lang w:val="en"/>
        </w:rPr>
        <w:t xml:space="preserve">a finite mixture model is </w:t>
      </w:r>
      <w:r w:rsidRPr="00ED6B28">
        <w:rPr>
          <w:rStyle w:val="hgkelc"/>
          <w:bCs/>
          <w:color w:val="auto"/>
          <w:lang w:val="en"/>
        </w:rPr>
        <w:t>a statistical model that assumes the presence of unobserved latent groups within an overall population</w:t>
      </w:r>
      <w:r w:rsidRPr="00ED6B28">
        <w:rPr>
          <w:rStyle w:val="hgkelc"/>
          <w:color w:val="auto"/>
          <w:lang w:val="en"/>
        </w:rPr>
        <w:t>. Each latent group can be fit with its own regression model, which may have a linear or generalized linear response function.</w:t>
      </w:r>
    </w:p>
    <w:p w:rsidR="00114F0A" w:rsidRPr="00ED6B28" w:rsidRDefault="00114F0A" w:rsidP="00114F0A">
      <w:pPr>
        <w:pStyle w:val="TEKSTASnumeruotas"/>
        <w:spacing w:before="0"/>
        <w:ind w:left="0" w:firstLine="397"/>
        <w:rPr>
          <w:color w:val="auto"/>
        </w:rPr>
      </w:pPr>
      <w:r w:rsidRPr="00ED6B28">
        <w:rPr>
          <w:color w:val="auto"/>
        </w:rPr>
        <w:t xml:space="preserve">It </w:t>
      </w:r>
      <w:proofErr w:type="spellStart"/>
      <w:r w:rsidRPr="00ED6B28">
        <w:rPr>
          <w:color w:val="auto"/>
        </w:rPr>
        <w:t>is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assumed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in</w:t>
      </w:r>
      <w:proofErr w:type="spellEnd"/>
      <w:r w:rsidRPr="00ED6B28">
        <w:rPr>
          <w:color w:val="auto"/>
        </w:rPr>
        <w:t xml:space="preserve"> FMM </w:t>
      </w:r>
      <w:proofErr w:type="spellStart"/>
      <w:r w:rsidRPr="00ED6B28">
        <w:rPr>
          <w:color w:val="auto"/>
        </w:rPr>
        <w:t>that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there</w:t>
      </w:r>
      <w:proofErr w:type="spellEnd"/>
      <w:r w:rsidRPr="00ED6B28">
        <w:rPr>
          <w:color w:val="auto"/>
        </w:rPr>
        <w:t xml:space="preserve"> are a </w:t>
      </w:r>
      <w:proofErr w:type="spellStart"/>
      <w:r w:rsidRPr="00ED6B28">
        <w:rPr>
          <w:color w:val="auto"/>
        </w:rPr>
        <w:t>total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of</w:t>
      </w:r>
      <w:proofErr w:type="spellEnd"/>
      <w:r w:rsidRPr="00ED6B28">
        <w:rPr>
          <w:color w:val="auto"/>
        </w:rPr>
        <w:t xml:space="preserve"> </w:t>
      </w:r>
      <m:oMath>
        <m:r>
          <w:rPr>
            <w:rStyle w:val="Emfaz"/>
            <w:rFonts w:ascii="Cambria Math" w:hAnsi="Cambria Math"/>
            <w:color w:val="auto"/>
          </w:rPr>
          <m:t>J</m:t>
        </m:r>
        <m:r>
          <m:rPr>
            <m:sty m:val="p"/>
          </m:rPr>
          <w:rPr>
            <w:rFonts w:ascii="Cambria Math" w:hAnsi="Cambria Math"/>
            <w:color w:val="auto"/>
          </w:rPr>
          <m:t xml:space="preserve"> </m:t>
        </m:r>
      </m:oMath>
      <w:r w:rsidRPr="00ED6B28">
        <w:rPr>
          <w:color w:val="auto"/>
        </w:rPr>
        <w:t xml:space="preserve">mixture components, such that a data point belongs to component (or subpopulation) </w:t>
      </w:r>
      <w:r w:rsidRPr="00ED6B28">
        <w:rPr>
          <w:rStyle w:val="Emfaz"/>
          <w:color w:val="auto"/>
        </w:rPr>
        <w:t>j</w:t>
      </w:r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with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probability</w:t>
      </w:r>
      <w:proofErr w:type="spellEnd"/>
      <w:r w:rsidRPr="00ED6B28">
        <w:rPr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j</m:t>
            </m:r>
          </m:sub>
        </m:sSub>
        <m:r>
          <w:rPr>
            <w:rFonts w:ascii="Cambria Math" w:hAnsi="Cambria Math"/>
            <w:color w:val="auto"/>
          </w:rPr>
          <m:t xml:space="preserve"> . </m:t>
        </m:r>
      </m:oMath>
      <w:r w:rsidRPr="00ED6B28">
        <w:rPr>
          <w:color w:val="auto"/>
        </w:rPr>
        <w:t xml:space="preserve">In other words, the different subpopulations correspond to a partition such that each data point in the population belongs to one and only one subpopulation. Each data point in subpopulation </w:t>
      </w:r>
      <m:oMath>
        <m:r>
          <w:rPr>
            <w:rStyle w:val="Emfaz"/>
            <w:rFonts w:ascii="Cambria Math" w:hAnsi="Cambria Math"/>
            <w:color w:val="auto"/>
          </w:rPr>
          <m:t>j</m:t>
        </m:r>
        <m:r>
          <m:rPr>
            <m:sty m:val="p"/>
          </m:rPr>
          <w:rPr>
            <w:rFonts w:ascii="Cambria Math" w:hAnsi="Cambria Math"/>
            <w:color w:val="auto"/>
          </w:rPr>
          <m:t xml:space="preserve"> = 1, …, </m:t>
        </m:r>
        <m:r>
          <w:rPr>
            <w:rStyle w:val="Emfaz"/>
            <w:rFonts w:ascii="Cambria Math" w:hAnsi="Cambria Math"/>
            <w:color w:val="auto"/>
          </w:rPr>
          <m:t xml:space="preserve">J </m:t>
        </m:r>
        <m:r>
          <m:rPr>
            <m:sty m:val="p"/>
          </m:rPr>
          <w:rPr>
            <w:rFonts w:ascii="Cambria Math" w:hAnsi="Cambria Math"/>
            <w:color w:val="auto"/>
          </w:rPr>
          <m:t xml:space="preserve"> </m:t>
        </m:r>
      </m:oMath>
      <w:r w:rsidRPr="00ED6B28">
        <w:rPr>
          <w:color w:val="auto"/>
        </w:rPr>
        <w:t xml:space="preserve">has a capture probability </w:t>
      </w:r>
      <m:oMath>
        <m:r>
          <w:rPr>
            <w:rStyle w:val="Emfaz"/>
            <w:rFonts w:ascii="Cambria Math" w:hAnsi="Cambria Math"/>
            <w:color w:val="auto"/>
          </w:rPr>
          <m:t>P</m:t>
        </m:r>
        <m:r>
          <m:rPr>
            <m:sty m:val="p"/>
          </m:rPr>
          <w:rPr>
            <w:rFonts w:ascii="Cambria Math" w:hAnsi="Cambria Math"/>
            <w:color w:val="auto"/>
          </w:rPr>
          <m:t>(</m:t>
        </m:r>
        <m:r>
          <w:rPr>
            <w:rStyle w:val="Emfaz"/>
            <w:rFonts w:ascii="Cambria Math" w:hAnsi="Cambria Math"/>
            <w:color w:val="auto"/>
          </w:rPr>
          <m:t>j</m:t>
        </m:r>
        <m:r>
          <m:rPr>
            <m:sty m:val="p"/>
          </m:rPr>
          <w:rPr>
            <w:rFonts w:ascii="Cambria Math" w:hAnsi="Cambria Math"/>
            <w:color w:val="auto"/>
          </w:rPr>
          <m:t>)</m:t>
        </m:r>
      </m:oMath>
      <w:r w:rsidRPr="00ED6B28">
        <w:rPr>
          <w:color w:val="auto"/>
        </w:rPr>
        <w:t xml:space="preserve">, assumed to be </w:t>
      </w:r>
      <w:proofErr w:type="spellStart"/>
      <w:r w:rsidRPr="00ED6B28">
        <w:rPr>
          <w:color w:val="auto"/>
        </w:rPr>
        <w:t>constant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over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time</w:t>
      </w:r>
      <w:proofErr w:type="spellEnd"/>
      <w:r w:rsidRPr="00ED6B28">
        <w:rPr>
          <w:color w:val="auto"/>
        </w:rPr>
        <w:t xml:space="preserve">.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set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of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capture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probabilities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is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given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by</w:t>
      </w:r>
      <w:proofErr w:type="spellEnd"/>
      <w:r w:rsidRPr="00ED6B28">
        <w:rPr>
          <w:color w:val="auto"/>
        </w:rPr>
        <w:t xml:space="preserve"> </w:t>
      </w:r>
      <m:oMath>
        <m:r>
          <w:rPr>
            <w:rStyle w:val="Emfaz"/>
            <w:rFonts w:ascii="Cambria Math" w:hAnsi="Cambria Math"/>
            <w:color w:val="auto"/>
          </w:rPr>
          <m:t>P</m:t>
        </m:r>
        <m:r>
          <m:rPr>
            <m:sty m:val="p"/>
          </m:rPr>
          <w:rPr>
            <w:rFonts w:ascii="Cambria Math" w:hAnsi="Cambria Math"/>
            <w:color w:val="auto"/>
          </w:rPr>
          <m:t xml:space="preserve"> = {</m:t>
        </m:r>
        <m:r>
          <w:rPr>
            <w:rStyle w:val="Emfaz"/>
            <w:rFonts w:ascii="Cambria Math" w:hAnsi="Cambria Math"/>
            <w:color w:val="auto"/>
          </w:rPr>
          <m:t>P</m:t>
        </m:r>
        <m:r>
          <m:rPr>
            <m:sty m:val="p"/>
          </m:rPr>
          <w:rPr>
            <w:rFonts w:ascii="Cambria Math" w:hAnsi="Cambria Math"/>
            <w:color w:val="auto"/>
          </w:rPr>
          <m:t xml:space="preserve">(1), …, </m:t>
        </m:r>
        <m:r>
          <w:rPr>
            <w:rStyle w:val="Emfaz"/>
            <w:rFonts w:ascii="Cambria Math" w:hAnsi="Cambria Math"/>
            <w:color w:val="auto"/>
          </w:rPr>
          <m:t>P</m:t>
        </m:r>
        <m:r>
          <m:rPr>
            <m:sty m:val="p"/>
          </m:rPr>
          <w:rPr>
            <w:rFonts w:ascii="Cambria Math" w:hAnsi="Cambria Math"/>
            <w:color w:val="auto"/>
          </w:rPr>
          <m:t>(</m:t>
        </m:r>
        <m:r>
          <w:rPr>
            <w:rStyle w:val="Emfaz"/>
            <w:rFonts w:ascii="Cambria Math" w:hAnsi="Cambria Math"/>
            <w:color w:val="auto"/>
          </w:rPr>
          <m:t>J</m:t>
        </m:r>
        <m:r>
          <m:rPr>
            <m:sty m:val="p"/>
          </m:rPr>
          <w:rPr>
            <w:rFonts w:ascii="Cambria Math" w:hAnsi="Cambria Math"/>
            <w:color w:val="auto"/>
          </w:rPr>
          <m:t>)}</m:t>
        </m:r>
      </m:oMath>
      <w:r w:rsidRPr="00ED6B28">
        <w:rPr>
          <w:color w:val="auto"/>
        </w:rPr>
        <w:t xml:space="preserve">. </w:t>
      </w:r>
    </w:p>
    <w:p w:rsidR="00114F0A" w:rsidRPr="00ED6B28" w:rsidRDefault="00114F0A" w:rsidP="00114F0A">
      <w:pPr>
        <w:ind w:firstLine="397"/>
        <w:jc w:val="both"/>
        <w:rPr>
          <w:sz w:val="22"/>
          <w:szCs w:val="22"/>
        </w:rPr>
      </w:pPr>
      <w:r w:rsidRPr="00ED6B28">
        <w:rPr>
          <w:sz w:val="22"/>
          <w:szCs w:val="22"/>
        </w:rPr>
        <w:t xml:space="preserve">Mixture models are flexible tools that allow modelling the associated structure of a set of variables (their joint density) using a finite mixture of simpler densities. </w:t>
      </w:r>
      <w:r w:rsidRPr="00ED6B28">
        <w:rPr>
          <w:rStyle w:val="uiqtextrenderedqtext"/>
          <w:sz w:val="22"/>
          <w:szCs w:val="22"/>
        </w:rPr>
        <w:t>Mixture models have a single latent variable (called indicator variable</w:t>
      </w:r>
      <w:r w:rsidRPr="00ED6B28">
        <w:rPr>
          <w:rStyle w:val="uiqtextrenderedqtext"/>
          <w:i/>
          <w:iCs/>
          <w:sz w:val="22"/>
          <w:szCs w:val="22"/>
        </w:rPr>
        <w:t xml:space="preserve">) </w:t>
      </w:r>
      <w:r w:rsidRPr="00ED6B28">
        <w:rPr>
          <w:rStyle w:val="uiqtextrenderedqtext"/>
          <w:sz w:val="22"/>
          <w:szCs w:val="22"/>
        </w:rPr>
        <w:t xml:space="preserve">that points to the </w:t>
      </w:r>
      <w:r w:rsidRPr="00ED6B28">
        <w:rPr>
          <w:sz w:val="22"/>
          <w:szCs w:val="22"/>
        </w:rPr>
        <w:t>mixture component</w:t>
      </w:r>
      <w:r w:rsidRPr="00ED6B28">
        <w:rPr>
          <w:rStyle w:val="uiqtextrenderedqtext"/>
          <w:sz w:val="22"/>
          <w:szCs w:val="22"/>
        </w:rPr>
        <w:t xml:space="preserve">. </w:t>
      </w:r>
      <w:r w:rsidRPr="00ED6B28">
        <w:rPr>
          <w:sz w:val="22"/>
          <w:szCs w:val="22"/>
        </w:rPr>
        <w:t>Mixture components can be modeled using a prior distribution for mixing proportions that selects a reasonable subset of components to explain any finite training set (</w:t>
      </w:r>
      <w:r w:rsidRPr="00ED6B28">
        <w:rPr>
          <w:rStyle w:val="Hipersaitas"/>
          <w:color w:val="auto"/>
          <w:sz w:val="22"/>
          <w:szCs w:val="22"/>
          <w:u w:val="none"/>
        </w:rPr>
        <w:t>Neal R. 1991)</w:t>
      </w:r>
      <w:r w:rsidRPr="00ED6B28">
        <w:rPr>
          <w:sz w:val="22"/>
          <w:szCs w:val="22"/>
        </w:rPr>
        <w:t>. Formally, the mixture model is defined in the following way:</w:t>
      </w:r>
    </w:p>
    <w:p w:rsidR="00114F0A" w:rsidRPr="00ED6B28" w:rsidRDefault="00114F0A" w:rsidP="00114F0A">
      <w:pPr>
        <w:ind w:firstLine="397"/>
        <w:jc w:val="both"/>
        <w:rPr>
          <w:i/>
          <w:sz w:val="22"/>
          <w:szCs w:val="22"/>
        </w:rPr>
      </w:pPr>
      <w:r w:rsidRPr="00ED6B28">
        <w:rPr>
          <w:sz w:val="22"/>
          <w:szCs w:val="22"/>
        </w:rPr>
        <w:t xml:space="preserve">          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lt-LT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p>
              <m:e>
                <m:r>
                  <w:rPr>
                    <w:rFonts w:ascii="Cambria Math" w:hAnsi="Cambria Math"/>
                    <w:sz w:val="22"/>
                    <w:szCs w:val="22"/>
                  </w:rPr>
                  <m:t>(P(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|c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))</m:t>
                </m:r>
              </m:e>
            </m:nary>
          </m:e>
        </m:nary>
        <m:r>
          <w:rPr>
            <w:rFonts w:ascii="Cambria Math" w:hAnsi="Cambria Math"/>
            <w:sz w:val="22"/>
            <w:szCs w:val="22"/>
          </w:rPr>
          <m:t>;X=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{X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}.</m:t>
        </m:r>
      </m:oMath>
      <w:r w:rsidRPr="00ED6B28">
        <w:rPr>
          <w:sz w:val="22"/>
          <w:szCs w:val="22"/>
        </w:rPr>
        <w:t xml:space="preserve">                  </w:t>
      </w:r>
      <w:r w:rsidRPr="00ED6B28">
        <w:rPr>
          <w:sz w:val="22"/>
          <w:szCs w:val="22"/>
          <w:lang w:val="lt-LT"/>
        </w:rPr>
        <w:t>(1.</w:t>
      </w:r>
      <w:r w:rsidRPr="00ED6B28">
        <w:rPr>
          <w:sz w:val="22"/>
          <w:szCs w:val="22"/>
        </w:rPr>
        <w:t>12</w:t>
      </w:r>
      <w:r w:rsidRPr="00ED6B28">
        <w:rPr>
          <w:sz w:val="22"/>
          <w:szCs w:val="22"/>
          <w:lang w:val="lt-LT"/>
        </w:rPr>
        <w:t>)</w:t>
      </w:r>
    </w:p>
    <w:p w:rsidR="00114F0A" w:rsidRPr="00ED6B28" w:rsidRDefault="00114F0A" w:rsidP="00114F0A">
      <w:pPr>
        <w:pStyle w:val="Betarp"/>
        <w:jc w:val="both"/>
        <w:rPr>
          <w:rFonts w:ascii="Times New Roman" w:hAnsi="Times New Roman" w:cs="Times New Roman"/>
        </w:rPr>
      </w:pPr>
      <w:r w:rsidRPr="00ED6B28">
        <w:rPr>
          <w:rFonts w:ascii="Times New Roman" w:hAnsi="Times New Roman" w:cs="Times New Roman"/>
        </w:rPr>
        <w:t>Here</w:t>
      </w:r>
      <w:r w:rsidRPr="00ED6B28">
        <w:rPr>
          <w:rFonts w:ascii="Times New Roman" w:hAnsi="Times New Roman" w:cs="Times New Roman"/>
          <w:i/>
        </w:rPr>
        <w:t xml:space="preserve">, </w:t>
      </w: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D6B28">
        <w:rPr>
          <w:rFonts w:ascii="Times New Roman" w:hAnsi="Times New Roman" w:cs="Times New Roman"/>
        </w:rPr>
        <w:t xml:space="preserve"> is the probability that the example is in cluster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</w:rPr>
              <m:t>i</m:t>
            </m:r>
          </m:sub>
        </m:sSub>
      </m:oMath>
      <w:r w:rsidRPr="00ED6B28">
        <w:rPr>
          <w:rFonts w:ascii="Times New Roman" w:hAnsi="Times New Roman" w:cs="Times New Roman"/>
          <w:i/>
        </w:rPr>
        <w:t xml:space="preserve">; </w:t>
      </w: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D6B28">
        <w:rPr>
          <w:rFonts w:ascii="Times New Roman" w:hAnsi="Times New Roman" w:cs="Times New Roman"/>
        </w:rPr>
        <w:t xml:space="preserve"> is the probability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D6B28">
        <w:rPr>
          <w:rFonts w:ascii="Times New Roman" w:hAnsi="Times New Roman" w:cs="Times New Roman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D6B28">
        <w:rPr>
          <w:rFonts w:ascii="Times New Roman" w:hAnsi="Times New Roman" w:cs="Times New Roman"/>
        </w:rPr>
        <w:t xml:space="preserve"> is in cluster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</w:rPr>
              <m:t>i</m:t>
            </m:r>
          </m:sub>
        </m:sSub>
      </m:oMath>
      <w:r w:rsidRPr="00ED6B28">
        <w:rPr>
          <w:rFonts w:ascii="Times New Roman" w:hAnsi="Times New Roman" w:cs="Times New Roman"/>
        </w:rPr>
        <w:t>. The generative process of the mixture model consists of cluster sampling and sampling data examples from the cluster distrib</w:t>
      </w:r>
      <w:proofErr w:type="spellStart"/>
      <w:r w:rsidRPr="00ED6B28">
        <w:rPr>
          <w:rFonts w:ascii="Times New Roman" w:hAnsi="Times New Roman" w:cs="Times New Roman"/>
        </w:rPr>
        <w:t>ution</w:t>
      </w:r>
      <w:proofErr w:type="spellEnd"/>
      <w:r w:rsidRPr="00ED6B28">
        <w:rPr>
          <w:rFonts w:ascii="Times New Roman" w:hAnsi="Times New Roman" w:cs="Times New Roman"/>
        </w:rPr>
        <w:t>. Mixture models infer mixtures of distributions for each component separately. In most cases, the goal to compute posterior distributions of parameters or latent variables requires multidimensional integration.</w:t>
      </w:r>
      <w:r w:rsidRPr="00ED6B28">
        <w:rPr>
          <w:rFonts w:ascii="Times New Roman" w:hAnsi="Times New Roman" w:cs="Times New Roman"/>
          <w:i/>
        </w:rPr>
        <w:t xml:space="preserve"> </w:t>
      </w:r>
      <w:r w:rsidRPr="00ED6B28">
        <w:rPr>
          <w:rFonts w:ascii="Times New Roman" w:hAnsi="Times New Roman" w:cs="Times New Roman"/>
        </w:rPr>
        <w:t xml:space="preserve">Deriving posterior means or simply identifying regions of high posterior density value pose highly complex computational challenges. Standard Monte Carlo methods are available for simulating from a posterior distribution associated with a mixture, allowing implicit integration over the entire parameter space. By the </w:t>
      </w:r>
      <w:hyperlink r:id="rId4" w:tooltip="Law of large numbers" w:history="1">
        <w:r w:rsidRPr="00ED6B28">
          <w:rPr>
            <w:rStyle w:val="Hipersaitas"/>
            <w:rFonts w:ascii="Times New Roman" w:hAnsi="Times New Roman" w:cs="Times New Roman"/>
            <w:color w:val="auto"/>
            <w:u w:val="none"/>
          </w:rPr>
          <w:t>law of large numbers</w:t>
        </w:r>
      </w:hyperlink>
      <w:r w:rsidRPr="00ED6B28">
        <w:rPr>
          <w:rFonts w:ascii="Times New Roman" w:hAnsi="Times New Roman" w:cs="Times New Roman"/>
        </w:rPr>
        <w:t xml:space="preserve">, integrals described by the </w:t>
      </w:r>
      <w:hyperlink r:id="rId5" w:tooltip="Expected value" w:history="1">
        <w:r w:rsidRPr="00ED6B28">
          <w:rPr>
            <w:rStyle w:val="Hipersaitas"/>
            <w:rFonts w:ascii="Times New Roman" w:hAnsi="Times New Roman" w:cs="Times New Roman"/>
            <w:color w:val="auto"/>
            <w:u w:val="none"/>
          </w:rPr>
          <w:t>expected value</w:t>
        </w:r>
      </w:hyperlink>
      <w:r w:rsidRPr="00ED6B28">
        <w:rPr>
          <w:rFonts w:ascii="Times New Roman" w:hAnsi="Times New Roman" w:cs="Times New Roman"/>
        </w:rPr>
        <w:t xml:space="preserve"> of some random variable can be approximated by taking the </w:t>
      </w:r>
      <w:hyperlink r:id="rId6" w:tooltip="Sample mean and sample covariance" w:history="1">
        <w:r w:rsidRPr="00ED6B28">
          <w:rPr>
            <w:rStyle w:val="Hipersaitas"/>
            <w:rFonts w:ascii="Times New Roman" w:hAnsi="Times New Roman" w:cs="Times New Roman"/>
            <w:color w:val="auto"/>
            <w:u w:val="none"/>
          </w:rPr>
          <w:t>empirical mean</w:t>
        </w:r>
      </w:hyperlink>
      <w:r w:rsidRPr="00ED6B28">
        <w:rPr>
          <w:rFonts w:ascii="Times New Roman" w:hAnsi="Times New Roman" w:cs="Times New Roman"/>
        </w:rPr>
        <w:t xml:space="preserve"> (the sample mean) of independent samples of the variable. When the </w:t>
      </w:r>
      <w:hyperlink r:id="rId7" w:tooltip="Probability distribution" w:history="1">
        <w:r w:rsidRPr="00ED6B28">
          <w:rPr>
            <w:rStyle w:val="Hipersaitas"/>
            <w:rFonts w:ascii="Times New Roman" w:hAnsi="Times New Roman" w:cs="Times New Roman"/>
            <w:color w:val="auto"/>
            <w:u w:val="none"/>
          </w:rPr>
          <w:t>probability distribution</w:t>
        </w:r>
      </w:hyperlink>
      <w:r w:rsidRPr="00ED6B28">
        <w:rPr>
          <w:rFonts w:ascii="Times New Roman" w:hAnsi="Times New Roman" w:cs="Times New Roman"/>
        </w:rPr>
        <w:t xml:space="preserve"> of the variable is parametrized, </w:t>
      </w:r>
      <w:hyperlink r:id="rId8" w:tooltip="Markov chain Monte Carlo" w:history="1">
        <w:r w:rsidRPr="00ED6B28">
          <w:rPr>
            <w:rStyle w:val="Hipersaitas"/>
            <w:rFonts w:ascii="Times New Roman" w:hAnsi="Times New Roman" w:cs="Times New Roman"/>
            <w:color w:val="auto"/>
            <w:u w:val="none"/>
          </w:rPr>
          <w:t>Markov chain Monte Carlo</w:t>
        </w:r>
      </w:hyperlink>
      <w:r w:rsidRPr="00ED6B28">
        <w:rPr>
          <w:rFonts w:ascii="Times New Roman" w:hAnsi="Times New Roman" w:cs="Times New Roman"/>
        </w:rPr>
        <w:t xml:space="preserve"> (MCMC) sampler may be used. As to draw independent samples from a joint posterior distribution is computationally intractable, a Markov chain is constructed, i.e., MCMC generates samples from the posterior distribution by constructing a reversible Markov chain. It is expected that in a very long run samples will take values that look like draws from the target distribution (at equilibrium). By the </w:t>
      </w:r>
      <w:hyperlink r:id="rId9" w:tooltip="Ergodic theorem" w:history="1">
        <w:r w:rsidRPr="00ED6B28">
          <w:rPr>
            <w:rStyle w:val="Hipersaitas"/>
            <w:rFonts w:ascii="Times New Roman" w:hAnsi="Times New Roman" w:cs="Times New Roman"/>
            <w:color w:val="auto"/>
            <w:u w:val="none"/>
          </w:rPr>
          <w:t>ergodic theorem</w:t>
        </w:r>
      </w:hyperlink>
      <w:r w:rsidRPr="00ED6B28">
        <w:rPr>
          <w:rFonts w:ascii="Times New Roman" w:hAnsi="Times New Roman" w:cs="Times New Roman"/>
        </w:rPr>
        <w:t xml:space="preserve">, the stationary distribution is approximated by the </w:t>
      </w:r>
      <w:hyperlink r:id="rId10" w:tooltip="Empirical measure" w:history="1">
        <w:r w:rsidRPr="00ED6B28">
          <w:rPr>
            <w:rStyle w:val="Hipersaitas"/>
            <w:rFonts w:ascii="Times New Roman" w:hAnsi="Times New Roman" w:cs="Times New Roman"/>
            <w:color w:val="auto"/>
            <w:u w:val="none"/>
          </w:rPr>
          <w:t>empirical measures</w:t>
        </w:r>
      </w:hyperlink>
      <w:r w:rsidRPr="00ED6B28">
        <w:rPr>
          <w:rFonts w:ascii="Times New Roman" w:hAnsi="Times New Roman" w:cs="Times New Roman"/>
        </w:rPr>
        <w:t xml:space="preserve"> of the random states of the MCMC sampler (</w:t>
      </w:r>
      <w:r w:rsidRPr="00ED6B28">
        <w:rPr>
          <w:rStyle w:val="author-link"/>
          <w:rFonts w:ascii="Times New Roman" w:hAnsi="Times New Roman" w:cs="Times New Roman"/>
        </w:rPr>
        <w:t xml:space="preserve">Stack Exchange </w:t>
      </w:r>
      <w:r w:rsidRPr="00ED6B28">
        <w:rPr>
          <w:rStyle w:val="Hipersaitas"/>
          <w:rFonts w:ascii="Times New Roman" w:hAnsi="Times New Roman" w:cs="Times New Roman"/>
          <w:color w:val="auto"/>
          <w:u w:val="none"/>
        </w:rPr>
        <w:t>2018)</w:t>
      </w:r>
      <w:r w:rsidRPr="00ED6B28">
        <w:rPr>
          <w:rFonts w:ascii="Times New Roman" w:hAnsi="Times New Roman" w:cs="Times New Roman"/>
        </w:rPr>
        <w:t>. Various algorithms are used for posterior sampling (i.e., sampling to generate the posterior distribution) – for high-dimensional Gaussian distributions, Gibbs sampler may be an option in order to approximate the hidden variable distributions. These determine the next steps of the Markov chain.</w:t>
      </w:r>
    </w:p>
    <w:p w:rsidR="00114F0A" w:rsidRPr="00ED6B28" w:rsidRDefault="00114F0A" w:rsidP="00114F0A">
      <w:pPr>
        <w:pStyle w:val="TEKSTASnumeruotas"/>
        <w:spacing w:before="0"/>
        <w:ind w:left="0" w:firstLine="397"/>
        <w:rPr>
          <w:color w:val="auto"/>
        </w:rPr>
      </w:pPr>
      <w:bookmarkStart w:id="0" w:name="_GoBack"/>
      <w:proofErr w:type="spellStart"/>
      <w:r w:rsidRPr="00ED6B28">
        <w:rPr>
          <w:color w:val="auto"/>
        </w:rPr>
        <w:t>Clustering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procedures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based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on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rStyle w:val="topic-highlight"/>
          <w:color w:val="auto"/>
        </w:rPr>
        <w:t>finite</w:t>
      </w:r>
      <w:proofErr w:type="spellEnd"/>
      <w:r w:rsidRPr="00ED6B28">
        <w:rPr>
          <w:rStyle w:val="topic-highlight"/>
          <w:color w:val="auto"/>
        </w:rPr>
        <w:t xml:space="preserve"> </w:t>
      </w:r>
      <w:proofErr w:type="spellStart"/>
      <w:r w:rsidRPr="00ED6B28">
        <w:rPr>
          <w:rStyle w:val="topic-highlight"/>
          <w:color w:val="auto"/>
        </w:rPr>
        <w:t>mixture</w:t>
      </w:r>
      <w:proofErr w:type="spellEnd"/>
      <w:r w:rsidRPr="00ED6B28">
        <w:rPr>
          <w:rStyle w:val="topic-highlight"/>
          <w:color w:val="auto"/>
        </w:rPr>
        <w:t xml:space="preserve"> </w:t>
      </w:r>
      <w:proofErr w:type="spellStart"/>
      <w:r w:rsidRPr="00ED6B28">
        <w:rPr>
          <w:rStyle w:val="topic-highlight"/>
          <w:color w:val="auto"/>
        </w:rPr>
        <w:t>models</w:t>
      </w:r>
      <w:proofErr w:type="spellEnd"/>
      <w:r w:rsidRPr="00ED6B28">
        <w:rPr>
          <w:color w:val="auto"/>
        </w:rPr>
        <w:t xml:space="preserve"> are </w:t>
      </w:r>
      <w:proofErr w:type="spellStart"/>
      <w:r w:rsidRPr="00ED6B28">
        <w:rPr>
          <w:color w:val="auto"/>
        </w:rPr>
        <w:t>being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increasingly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preferred</w:t>
      </w:r>
      <w:proofErr w:type="spellEnd"/>
      <w:r w:rsidRPr="00ED6B28">
        <w:rPr>
          <w:color w:val="auto"/>
        </w:rPr>
        <w:t xml:space="preserve"> to</w:t>
      </w:r>
      <w:r w:rsidRPr="00ED6B28">
        <w:rPr>
          <w:i/>
          <w:color w:val="auto"/>
        </w:rPr>
        <w:t xml:space="preserve"> </w:t>
      </w:r>
      <w:hyperlink r:id="rId11" w:tooltip="Learn more about heuristic methods from ScienceDirect's AI-generated Topic Pages" w:history="1">
        <w:proofErr w:type="spellStart"/>
        <w:r w:rsidRPr="00ED6B28">
          <w:rPr>
            <w:rStyle w:val="Hipersaitas"/>
            <w:i/>
            <w:color w:val="auto"/>
            <w:u w:val="none"/>
          </w:rPr>
          <w:t>heuristic</w:t>
        </w:r>
        <w:proofErr w:type="spellEnd"/>
        <w:r w:rsidRPr="00ED6B28">
          <w:rPr>
            <w:rStyle w:val="Hipersaitas"/>
            <w:i/>
            <w:color w:val="auto"/>
            <w:u w:val="none"/>
          </w:rPr>
          <w:t xml:space="preserve"> </w:t>
        </w:r>
        <w:proofErr w:type="spellStart"/>
        <w:r w:rsidRPr="00ED6B28">
          <w:rPr>
            <w:rStyle w:val="Hipersaitas"/>
            <w:i/>
            <w:color w:val="auto"/>
            <w:u w:val="none"/>
          </w:rPr>
          <w:t>methods</w:t>
        </w:r>
        <w:proofErr w:type="spellEnd"/>
      </w:hyperlink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due</w:t>
      </w:r>
      <w:proofErr w:type="spellEnd"/>
      <w:r w:rsidRPr="00ED6B28">
        <w:rPr>
          <w:color w:val="auto"/>
        </w:rPr>
        <w:t xml:space="preserve"> to </w:t>
      </w:r>
      <w:proofErr w:type="spellStart"/>
      <w:r w:rsidRPr="00ED6B28">
        <w:rPr>
          <w:color w:val="auto"/>
        </w:rPr>
        <w:t>their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sound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mathematical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basis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and</w:t>
      </w:r>
      <w:proofErr w:type="spellEnd"/>
      <w:r w:rsidRPr="00ED6B28">
        <w:rPr>
          <w:color w:val="auto"/>
        </w:rPr>
        <w:t xml:space="preserve"> to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hyperlink r:id="rId12" w:tooltip="Learn more about interpretability from ScienceDirect's AI-generated Topic Pages" w:history="1">
        <w:proofErr w:type="spellStart"/>
        <w:r w:rsidRPr="00ED6B28">
          <w:rPr>
            <w:rStyle w:val="Hipersaitas"/>
            <w:color w:val="auto"/>
            <w:u w:val="none"/>
          </w:rPr>
          <w:t>interpretability</w:t>
        </w:r>
        <w:proofErr w:type="spellEnd"/>
      </w:hyperlink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of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their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results</w:t>
      </w:r>
      <w:proofErr w:type="spellEnd"/>
      <w:r w:rsidRPr="00ED6B28">
        <w:rPr>
          <w:color w:val="auto"/>
        </w:rPr>
        <w:t xml:space="preserve">. </w:t>
      </w:r>
      <w:proofErr w:type="spellStart"/>
      <w:r w:rsidRPr="00ED6B28">
        <w:rPr>
          <w:color w:val="auto"/>
        </w:rPr>
        <w:t>Mixture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model-based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procedures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provide</w:t>
      </w:r>
      <w:proofErr w:type="spellEnd"/>
      <w:r w:rsidRPr="00ED6B28">
        <w:rPr>
          <w:color w:val="auto"/>
        </w:rPr>
        <w:t xml:space="preserve"> a </w:t>
      </w:r>
      <w:proofErr w:type="spellStart"/>
      <w:r w:rsidRPr="00ED6B28">
        <w:rPr>
          <w:color w:val="auto"/>
        </w:rPr>
        <w:t>probabilistic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clustering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that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allows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for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overlapping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clusters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corresponding</w:t>
      </w:r>
      <w:proofErr w:type="spellEnd"/>
      <w:r w:rsidRPr="00ED6B28">
        <w:rPr>
          <w:color w:val="auto"/>
        </w:rPr>
        <w:t xml:space="preserve"> to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components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of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mixture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model</w:t>
      </w:r>
      <w:proofErr w:type="spellEnd"/>
      <w:r w:rsidRPr="00ED6B28">
        <w:rPr>
          <w:color w:val="auto"/>
        </w:rPr>
        <w:t xml:space="preserve">.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uncertainties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that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observations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belong</w:t>
      </w:r>
      <w:proofErr w:type="spellEnd"/>
      <w:r w:rsidRPr="00ED6B28">
        <w:rPr>
          <w:color w:val="auto"/>
        </w:rPr>
        <w:t xml:space="preserve"> to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clusters</w:t>
      </w:r>
      <w:proofErr w:type="spellEnd"/>
      <w:r w:rsidRPr="00ED6B28">
        <w:rPr>
          <w:color w:val="auto"/>
        </w:rPr>
        <w:t xml:space="preserve"> are </w:t>
      </w:r>
      <w:proofErr w:type="spellStart"/>
      <w:r w:rsidRPr="00ED6B28">
        <w:rPr>
          <w:color w:val="auto"/>
        </w:rPr>
        <w:t>provided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in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terms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of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fitted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values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for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their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posterior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probabilities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of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component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membership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of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mixture</w:t>
      </w:r>
      <w:proofErr w:type="spellEnd"/>
      <w:r w:rsidRPr="00ED6B28">
        <w:rPr>
          <w:color w:val="auto"/>
        </w:rPr>
        <w:t xml:space="preserve">. </w:t>
      </w:r>
      <w:proofErr w:type="spellStart"/>
      <w:r w:rsidRPr="00ED6B28">
        <w:rPr>
          <w:color w:val="auto"/>
        </w:rPr>
        <w:t>As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each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component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in</w:t>
      </w:r>
      <w:proofErr w:type="spellEnd"/>
      <w:r w:rsidRPr="00ED6B28">
        <w:rPr>
          <w:color w:val="auto"/>
        </w:rPr>
        <w:t xml:space="preserve"> a </w:t>
      </w:r>
      <w:proofErr w:type="spellStart"/>
      <w:r w:rsidRPr="00ED6B28">
        <w:rPr>
          <w:color w:val="auto"/>
        </w:rPr>
        <w:t>finite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mixture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model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corresponds</w:t>
      </w:r>
      <w:proofErr w:type="spellEnd"/>
      <w:r w:rsidRPr="00ED6B28">
        <w:rPr>
          <w:color w:val="auto"/>
        </w:rPr>
        <w:t xml:space="preserve"> to a </w:t>
      </w:r>
      <w:proofErr w:type="spellStart"/>
      <w:r w:rsidRPr="00ED6B28">
        <w:rPr>
          <w:color w:val="auto"/>
        </w:rPr>
        <w:t>cluster</w:t>
      </w:r>
      <w:proofErr w:type="spellEnd"/>
      <w:r w:rsidRPr="00ED6B28">
        <w:rPr>
          <w:color w:val="auto"/>
        </w:rPr>
        <w:t xml:space="preserve">,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problem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of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choosing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an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appropriate</w:t>
      </w:r>
      <w:proofErr w:type="spellEnd"/>
      <w:r w:rsidRPr="00ED6B28">
        <w:rPr>
          <w:color w:val="auto"/>
        </w:rPr>
        <w:t xml:space="preserve"> </w:t>
      </w:r>
      <w:hyperlink r:id="rId13" w:tooltip="Learn more about clustering method from ScienceDirect's AI-generated Topic Pages" w:history="1">
        <w:proofErr w:type="spellStart"/>
        <w:r w:rsidRPr="00ED6B28">
          <w:rPr>
            <w:rStyle w:val="Hipersaitas"/>
            <w:color w:val="auto"/>
            <w:u w:val="none"/>
          </w:rPr>
          <w:t>clustering</w:t>
        </w:r>
        <w:proofErr w:type="spellEnd"/>
        <w:r w:rsidRPr="00ED6B28">
          <w:rPr>
            <w:rStyle w:val="Hipersaitas"/>
            <w:color w:val="auto"/>
            <w:u w:val="none"/>
          </w:rPr>
          <w:t xml:space="preserve"> </w:t>
        </w:r>
        <w:proofErr w:type="spellStart"/>
        <w:r w:rsidRPr="00ED6B28">
          <w:rPr>
            <w:rStyle w:val="Hipersaitas"/>
            <w:color w:val="auto"/>
            <w:u w:val="none"/>
          </w:rPr>
          <w:t>method</w:t>
        </w:r>
        <w:proofErr w:type="spellEnd"/>
      </w:hyperlink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can</w:t>
      </w:r>
      <w:proofErr w:type="spellEnd"/>
      <w:r w:rsidRPr="00ED6B28">
        <w:rPr>
          <w:color w:val="auto"/>
        </w:rPr>
        <w:t xml:space="preserve"> be </w:t>
      </w:r>
      <w:proofErr w:type="spellStart"/>
      <w:r w:rsidRPr="00ED6B28">
        <w:rPr>
          <w:color w:val="auto"/>
        </w:rPr>
        <w:t>recast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as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statistical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model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choice</w:t>
      </w:r>
      <w:proofErr w:type="spellEnd"/>
      <w:r w:rsidRPr="00ED6B28">
        <w:rPr>
          <w:color w:val="auto"/>
        </w:rPr>
        <w:t xml:space="preserve">. It also </w:t>
      </w:r>
      <w:proofErr w:type="spellStart"/>
      <w:r w:rsidRPr="00ED6B28">
        <w:rPr>
          <w:color w:val="auto"/>
        </w:rPr>
        <w:t>allows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important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question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of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how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many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clusters</w:t>
      </w:r>
      <w:proofErr w:type="spellEnd"/>
      <w:r w:rsidRPr="00ED6B28">
        <w:rPr>
          <w:color w:val="auto"/>
        </w:rPr>
        <w:t xml:space="preserve"> are </w:t>
      </w:r>
      <w:proofErr w:type="spellStart"/>
      <w:r w:rsidRPr="00ED6B28">
        <w:rPr>
          <w:color w:val="auto"/>
        </w:rPr>
        <w:t>there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in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data to be </w:t>
      </w:r>
      <w:proofErr w:type="spellStart"/>
      <w:r w:rsidRPr="00ED6B28">
        <w:rPr>
          <w:color w:val="auto"/>
        </w:rPr>
        <w:t>approached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through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an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assessment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of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how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many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components</w:t>
      </w:r>
      <w:proofErr w:type="spellEnd"/>
      <w:r w:rsidRPr="00ED6B28">
        <w:rPr>
          <w:color w:val="auto"/>
        </w:rPr>
        <w:t xml:space="preserve"> are </w:t>
      </w:r>
      <w:proofErr w:type="spellStart"/>
      <w:r w:rsidRPr="00ED6B28">
        <w:rPr>
          <w:color w:val="auto"/>
        </w:rPr>
        <w:t>needed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in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mixture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model</w:t>
      </w:r>
      <w:proofErr w:type="spellEnd"/>
      <w:r w:rsidRPr="00ED6B28">
        <w:rPr>
          <w:color w:val="auto"/>
        </w:rPr>
        <w:t xml:space="preserve">. </w:t>
      </w:r>
      <w:proofErr w:type="spellStart"/>
      <w:r w:rsidRPr="00ED6B28">
        <w:rPr>
          <w:color w:val="auto"/>
        </w:rPr>
        <w:t>These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questions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of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model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choice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can</w:t>
      </w:r>
      <w:proofErr w:type="spellEnd"/>
      <w:r w:rsidRPr="00ED6B28">
        <w:rPr>
          <w:color w:val="auto"/>
        </w:rPr>
        <w:t xml:space="preserve"> be </w:t>
      </w:r>
      <w:proofErr w:type="spellStart"/>
      <w:r w:rsidRPr="00ED6B28">
        <w:rPr>
          <w:color w:val="auto"/>
        </w:rPr>
        <w:t>considered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in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terms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of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the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likelihood</w:t>
      </w:r>
      <w:proofErr w:type="spellEnd"/>
      <w:r w:rsidRPr="00ED6B28">
        <w:rPr>
          <w:color w:val="auto"/>
        </w:rPr>
        <w:t xml:space="preserve"> </w:t>
      </w:r>
      <w:proofErr w:type="spellStart"/>
      <w:r w:rsidRPr="00ED6B28">
        <w:rPr>
          <w:color w:val="auto"/>
        </w:rPr>
        <w:t>function</w:t>
      </w:r>
      <w:proofErr w:type="spellEnd"/>
      <w:r w:rsidRPr="00ED6B28">
        <w:rPr>
          <w:color w:val="auto"/>
        </w:rPr>
        <w:t>.</w:t>
      </w:r>
    </w:p>
    <w:bookmarkEnd w:id="0"/>
    <w:p w:rsidR="002E4FEB" w:rsidRPr="00114F0A" w:rsidRDefault="002E4FEB">
      <w:pPr>
        <w:rPr>
          <w:lang w:val="lt-LT"/>
        </w:rPr>
      </w:pPr>
    </w:p>
    <w:sectPr w:rsidR="002E4FEB" w:rsidRPr="00114F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0A"/>
    <w:rsid w:val="00114F0A"/>
    <w:rsid w:val="002E4FEB"/>
    <w:rsid w:val="00ED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4557-D367-4032-BAA6-EE30F2CF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114F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uiPriority w:val="99"/>
    <w:rsid w:val="00114F0A"/>
    <w:rPr>
      <w:color w:val="0000FF"/>
      <w:u w:val="single"/>
    </w:rPr>
  </w:style>
  <w:style w:type="character" w:styleId="Emfaz">
    <w:name w:val="Emphasis"/>
    <w:uiPriority w:val="20"/>
    <w:qFormat/>
    <w:rsid w:val="00114F0A"/>
    <w:rPr>
      <w:i/>
      <w:iCs/>
    </w:rPr>
  </w:style>
  <w:style w:type="paragraph" w:customStyle="1" w:styleId="TEKSTASnumeruotas">
    <w:name w:val="TEKSTAS_numeruotas"/>
    <w:basedOn w:val="prastasis"/>
    <w:semiHidden/>
    <w:rsid w:val="00114F0A"/>
    <w:pPr>
      <w:spacing w:before="60"/>
      <w:ind w:left="425" w:firstLine="284"/>
      <w:jc w:val="both"/>
    </w:pPr>
    <w:rPr>
      <w:color w:val="000000"/>
      <w:sz w:val="22"/>
      <w:szCs w:val="22"/>
      <w:lang w:val="lt-LT"/>
    </w:rPr>
  </w:style>
  <w:style w:type="paragraph" w:styleId="Betarp">
    <w:name w:val="No Spacing"/>
    <w:uiPriority w:val="1"/>
    <w:qFormat/>
    <w:rsid w:val="00114F0A"/>
    <w:pPr>
      <w:spacing w:after="0" w:line="240" w:lineRule="auto"/>
    </w:pPr>
  </w:style>
  <w:style w:type="character" w:customStyle="1" w:styleId="hgkelc">
    <w:name w:val="hgkelc"/>
    <w:basedOn w:val="Numatytasispastraiposriftas"/>
    <w:rsid w:val="00114F0A"/>
  </w:style>
  <w:style w:type="character" w:customStyle="1" w:styleId="topic-highlight">
    <w:name w:val="topic-highlight"/>
    <w:basedOn w:val="Numatytasispastraiposriftas"/>
    <w:rsid w:val="00114F0A"/>
  </w:style>
  <w:style w:type="character" w:customStyle="1" w:styleId="uiqtextrenderedqtext">
    <w:name w:val="ui_qtext_rendered_qtext"/>
    <w:rsid w:val="00114F0A"/>
  </w:style>
  <w:style w:type="character" w:customStyle="1" w:styleId="author-link">
    <w:name w:val="author-link"/>
    <w:rsid w:val="00114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kov_chain_Monte_Carlo" TargetMode="External"/><Relationship Id="rId13" Type="http://schemas.openxmlformats.org/officeDocument/2006/relationships/hyperlink" Target="https://www.sciencedirect.com/topics/mathematics/clustering-metho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robability_distribution" TargetMode="External"/><Relationship Id="rId12" Type="http://schemas.openxmlformats.org/officeDocument/2006/relationships/hyperlink" Target="https://www.sciencedirect.com/topics/mathematics/interpretabil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ample_mean_and_sample_covariance" TargetMode="External"/><Relationship Id="rId11" Type="http://schemas.openxmlformats.org/officeDocument/2006/relationships/hyperlink" Target="https://www.sciencedirect.com/topics/mathematics/heuristic-method" TargetMode="External"/><Relationship Id="rId5" Type="http://schemas.openxmlformats.org/officeDocument/2006/relationships/hyperlink" Target="https://en.wikipedia.org/wiki/Expected_valu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Empirical_measure" TargetMode="External"/><Relationship Id="rId4" Type="http://schemas.openxmlformats.org/officeDocument/2006/relationships/hyperlink" Target="https://en.wikipedia.org/wiki/Law_of_large_numbers" TargetMode="External"/><Relationship Id="rId9" Type="http://schemas.openxmlformats.org/officeDocument/2006/relationships/hyperlink" Target="https://en.wikipedia.org/wiki/Ergodic_theor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2024-02-27T19:17:00Z</dcterms:created>
  <dcterms:modified xsi:type="dcterms:W3CDTF">2024-02-27T19:17:00Z</dcterms:modified>
</cp:coreProperties>
</file>