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6E1" w:rsidRPr="003C76E1" w:rsidRDefault="003C76E1" w:rsidP="003C76E1">
      <w:pPr>
        <w:pStyle w:val="Betarp"/>
        <w:ind w:firstLine="397"/>
        <w:jc w:val="both"/>
        <w:rPr>
          <w:rFonts w:ascii="Times New Roman" w:eastAsiaTheme="minorEastAsia" w:hAnsi="Times New Roman" w:cs="Times New Roman"/>
        </w:rPr>
      </w:pPr>
      <w:bookmarkStart w:id="0" w:name="_GoBack"/>
      <w:r w:rsidRPr="003C76E1">
        <w:rPr>
          <w:rFonts w:ascii="Times New Roman" w:hAnsi="Times New Roman" w:cs="Times New Roman"/>
        </w:rPr>
        <w:t>The generative model is trained with a large amount of data. After training, it is able to generate data similar to the initial set of data. As it has been mentioned in the sub-sections “</w:t>
      </w:r>
      <w:r w:rsidRPr="003C76E1">
        <w:rPr>
          <w:rFonts w:ascii="Times New Roman" w:hAnsi="Times New Roman" w:cs="Times New Roman"/>
          <w:i/>
        </w:rPr>
        <w:t>Mixture model</w:t>
      </w:r>
      <w:r w:rsidRPr="003C76E1">
        <w:rPr>
          <w:rFonts w:ascii="Times New Roman" w:hAnsi="Times New Roman" w:cs="Times New Roman"/>
        </w:rPr>
        <w:t>” and “</w:t>
      </w:r>
      <w:proofErr w:type="spellStart"/>
      <w:r w:rsidRPr="003C76E1">
        <w:rPr>
          <w:rFonts w:ascii="Times New Roman" w:hAnsi="Times New Roman" w:cs="Times New Roman"/>
          <w:i/>
        </w:rPr>
        <w:t>Baysesian</w:t>
      </w:r>
      <w:proofErr w:type="spellEnd"/>
      <w:r w:rsidRPr="003C76E1">
        <w:rPr>
          <w:rFonts w:ascii="Times New Roman" w:hAnsi="Times New Roman" w:cs="Times New Roman"/>
          <w:i/>
        </w:rPr>
        <w:t xml:space="preserve"> mixture model (Bayesian estimation (inference) for(on) mixture models via posterior </w:t>
      </w:r>
      <w:proofErr w:type="gramStart"/>
      <w:r w:rsidRPr="003C76E1">
        <w:rPr>
          <w:rFonts w:ascii="Times New Roman" w:hAnsi="Times New Roman" w:cs="Times New Roman"/>
          <w:i/>
        </w:rPr>
        <w:t>simulations</w:t>
      </w:r>
      <w:r w:rsidRPr="003C76E1">
        <w:rPr>
          <w:rFonts w:ascii="Times New Roman" w:hAnsi="Times New Roman" w:cs="Times New Roman"/>
        </w:rPr>
        <w:t>“ (</w:t>
      </w:r>
      <w:proofErr w:type="gramEnd"/>
      <w:r w:rsidRPr="003C76E1">
        <w:rPr>
          <w:rFonts w:ascii="Times New Roman" w:hAnsi="Times New Roman" w:cs="Times New Roman"/>
        </w:rPr>
        <w:t xml:space="preserve">section 1), there are some methods developed for </w:t>
      </w:r>
      <w:r w:rsidRPr="003C76E1">
        <w:rPr>
          <w:rStyle w:val="notecontentvalue"/>
          <w:rFonts w:ascii="Times New Roman" w:hAnsi="Times New Roman" w:cs="Times New Roman"/>
        </w:rPr>
        <w:t xml:space="preserve">pre-training for generative modelling: Maximum Likelihood Estimation, variance algorithms, Markov Monte Carlo method, and others (Lu </w:t>
      </w:r>
      <w:r w:rsidRPr="003C76E1">
        <w:rPr>
          <w:rStyle w:val="notecontentvalue"/>
          <w:rFonts w:ascii="Times New Roman" w:hAnsi="Times New Roman" w:cs="Times New Roman"/>
          <w:i/>
        </w:rPr>
        <w:t>et. al.</w:t>
      </w:r>
      <w:r w:rsidRPr="003C76E1">
        <w:rPr>
          <w:rStyle w:val="notecontentvalue"/>
          <w:rFonts w:ascii="Times New Roman" w:hAnsi="Times New Roman" w:cs="Times New Roman"/>
        </w:rPr>
        <w:t xml:space="preserve"> 2019). That is, the g</w:t>
      </w:r>
      <w:r w:rsidRPr="003C76E1">
        <w:rPr>
          <w:rFonts w:ascii="Times New Roman" w:hAnsi="Times New Roman" w:cs="Times New Roman"/>
        </w:rPr>
        <w:t xml:space="preserve">eneration can be done by sampling from prior and weighting by likelihood (it is the expectation maximization method), using some guide distribution (it is called importance sampling), using Markov Monte Carlo (iteratively sampling the unknown variables of the model from their conditional distributions), or </w:t>
      </w:r>
      <w:proofErr w:type="spellStart"/>
      <w:r w:rsidRPr="003C76E1">
        <w:rPr>
          <w:rFonts w:ascii="Times New Roman" w:hAnsi="Times New Roman" w:cs="Times New Roman"/>
        </w:rPr>
        <w:t>variational</w:t>
      </w:r>
      <w:proofErr w:type="spellEnd"/>
      <w:r w:rsidRPr="003C76E1">
        <w:rPr>
          <w:rFonts w:ascii="Times New Roman" w:hAnsi="Times New Roman" w:cs="Times New Roman"/>
        </w:rPr>
        <w:t xml:space="preserve"> methods. Markov chain sampling methods for </w:t>
      </w:r>
      <w:proofErr w:type="spellStart"/>
      <w:r w:rsidRPr="003C76E1">
        <w:rPr>
          <w:rFonts w:ascii="Times New Roman" w:hAnsi="Times New Roman" w:cs="Times New Roman"/>
        </w:rPr>
        <w:t>Dirichlet</w:t>
      </w:r>
      <w:proofErr w:type="spellEnd"/>
      <w:r w:rsidRPr="003C76E1">
        <w:rPr>
          <w:rFonts w:ascii="Times New Roman" w:hAnsi="Times New Roman" w:cs="Times New Roman"/>
        </w:rPr>
        <w:t xml:space="preserve"> process mixture models are thoroughly explained by Neal (2000). </w:t>
      </w:r>
      <w:proofErr w:type="spellStart"/>
      <w:r w:rsidRPr="003C76E1">
        <w:rPr>
          <w:rStyle w:val="comment-copy"/>
          <w:rFonts w:ascii="Times New Roman" w:hAnsi="Times New Roman" w:cs="Times New Roman"/>
          <w:lang w:val="lt-LT"/>
        </w:rPr>
        <w:t>In</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the</w:t>
      </w:r>
      <w:proofErr w:type="spellEnd"/>
      <w:r w:rsidRPr="003C76E1">
        <w:rPr>
          <w:rStyle w:val="comment-copy"/>
          <w:rFonts w:ascii="Times New Roman" w:hAnsi="Times New Roman" w:cs="Times New Roman"/>
          <w:lang w:val="lt-LT"/>
        </w:rPr>
        <w:t xml:space="preserve"> BCM </w:t>
      </w:r>
      <w:proofErr w:type="spellStart"/>
      <w:r w:rsidRPr="003C76E1">
        <w:rPr>
          <w:rStyle w:val="comment-copy"/>
          <w:rFonts w:ascii="Times New Roman" w:hAnsi="Times New Roman" w:cs="Times New Roman"/>
          <w:lang w:val="lt-LT"/>
        </w:rPr>
        <w:t>generative</w:t>
      </w:r>
      <w:proofErr w:type="spellEnd"/>
      <w:r w:rsidRPr="003C76E1">
        <w:rPr>
          <w:rStyle w:val="comment-copy"/>
          <w:rFonts w:ascii="Times New Roman" w:hAnsi="Times New Roman" w:cs="Times New Roman"/>
          <w:lang w:val="lt-LT"/>
        </w:rPr>
        <w:t xml:space="preserve"> story, </w:t>
      </w:r>
      <w:proofErr w:type="spellStart"/>
      <w:r w:rsidRPr="003C76E1">
        <w:rPr>
          <w:rStyle w:val="comment-copy"/>
          <w:rFonts w:ascii="Times New Roman" w:hAnsi="Times New Roman" w:cs="Times New Roman"/>
          <w:lang w:val="lt-LT"/>
        </w:rPr>
        <w:t>clusters</w:t>
      </w:r>
      <w:proofErr w:type="spellEnd"/>
      <w:r w:rsidRPr="003C76E1">
        <w:rPr>
          <w:rStyle w:val="comment-copy"/>
          <w:rFonts w:ascii="Times New Roman" w:hAnsi="Times New Roman" w:cs="Times New Roman"/>
          <w:lang w:val="lt-LT"/>
        </w:rPr>
        <w:t xml:space="preserve"> are </w:t>
      </w:r>
      <w:proofErr w:type="spellStart"/>
      <w:r w:rsidRPr="003C76E1">
        <w:rPr>
          <w:rStyle w:val="comment-copy"/>
          <w:rFonts w:ascii="Times New Roman" w:hAnsi="Times New Roman" w:cs="Times New Roman"/>
          <w:lang w:val="lt-LT"/>
        </w:rPr>
        <w:t>generated</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first</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and</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each</w:t>
      </w:r>
      <w:proofErr w:type="spellEnd"/>
      <w:r w:rsidRPr="003C76E1">
        <w:rPr>
          <w:rStyle w:val="comment-copy"/>
          <w:rFonts w:ascii="Times New Roman" w:hAnsi="Times New Roman" w:cs="Times New Roman"/>
          <w:lang w:val="lt-LT"/>
        </w:rPr>
        <w:t xml:space="preserve"> data </w:t>
      </w:r>
      <w:proofErr w:type="spellStart"/>
      <w:r w:rsidRPr="003C76E1">
        <w:rPr>
          <w:rStyle w:val="comment-copy"/>
          <w:rFonts w:ascii="Times New Roman" w:hAnsi="Times New Roman" w:cs="Times New Roman"/>
          <w:lang w:val="lt-LT"/>
        </w:rPr>
        <w:t>point</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is</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repesented</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by</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distribution</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over</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clusters</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Prototype</w:t>
      </w:r>
      <w:proofErr w:type="spellEnd"/>
      <w:r w:rsidRPr="003C76E1">
        <w:rPr>
          <w:rStyle w:val="comment-copy"/>
          <w:rFonts w:ascii="Times New Roman" w:hAnsi="Times New Roman" w:cs="Times New Roman"/>
          <w:lang w:val="lt-LT"/>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m:t>
            </m:r>
          </m:sub>
        </m:sSub>
        <m:r>
          <w:rPr>
            <w:rFonts w:ascii="Cambria Math" w:hAnsi="Cambria Math" w:cs="Times New Roman"/>
          </w:rPr>
          <m:t xml:space="preserve"> </m:t>
        </m:r>
      </m:oMath>
      <w:r w:rsidRPr="003C76E1">
        <w:rPr>
          <w:rFonts w:ascii="Times New Roman" w:hAnsi="Times New Roman" w:cs="Times New Roman"/>
        </w:rPr>
        <w:t xml:space="preserve"> is generated by sampling </w:t>
      </w:r>
      <w:r w:rsidRPr="003C76E1">
        <w:rPr>
          <w:rStyle w:val="highlight"/>
          <w:rFonts w:ascii="Times New Roman" w:hAnsi="Times New Roman" w:cs="Times New Roman"/>
        </w:rPr>
        <w:t>uniform</w:t>
      </w:r>
      <w:r w:rsidRPr="003C76E1">
        <w:rPr>
          <w:rFonts w:ascii="Times New Roman" w:hAnsi="Times New Roman" w:cs="Times New Roman"/>
        </w:rPr>
        <w:t xml:space="preserve">ly over all observations (Kim 2015), i.e., </w:t>
      </w:r>
      <w:proofErr w:type="spellStart"/>
      <w:r w:rsidRPr="003C76E1">
        <w:rPr>
          <w:rStyle w:val="comment-copy"/>
          <w:rFonts w:ascii="Times New Roman" w:hAnsi="Times New Roman" w:cs="Times New Roman"/>
          <w:lang w:val="lt-LT"/>
        </w:rPr>
        <w:t>initially</w:t>
      </w:r>
      <w:proofErr w:type="spellEnd"/>
      <w:r w:rsidRPr="003C76E1">
        <w:rPr>
          <w:rStyle w:val="comment-copy"/>
          <w:rFonts w:ascii="Times New Roman" w:hAnsi="Times New Roman" w:cs="Times New Roman"/>
          <w:lang w:val="lt-LT"/>
        </w:rPr>
        <w:t xml:space="preserve"> it </w:t>
      </w:r>
      <w:proofErr w:type="spellStart"/>
      <w:r w:rsidRPr="003C76E1">
        <w:rPr>
          <w:rStyle w:val="comment-copy"/>
          <w:rFonts w:ascii="Times New Roman" w:hAnsi="Times New Roman" w:cs="Times New Roman"/>
          <w:lang w:val="lt-LT"/>
        </w:rPr>
        <w:t>is</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presumed</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that</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every</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cluster</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is</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equally</w:t>
      </w:r>
      <w:proofErr w:type="spellEnd"/>
      <w:r w:rsidRPr="003C76E1">
        <w:rPr>
          <w:rStyle w:val="comment-copy"/>
          <w:rFonts w:ascii="Times New Roman" w:hAnsi="Times New Roman" w:cs="Times New Roman"/>
          <w:lang w:val="lt-LT"/>
        </w:rPr>
        <w:t xml:space="preserve"> </w:t>
      </w:r>
      <w:proofErr w:type="spellStart"/>
      <w:r w:rsidRPr="003C76E1">
        <w:rPr>
          <w:rStyle w:val="comment-copy"/>
          <w:rFonts w:ascii="Times New Roman" w:hAnsi="Times New Roman" w:cs="Times New Roman"/>
          <w:lang w:val="lt-LT"/>
        </w:rPr>
        <w:t>probable</w:t>
      </w:r>
      <w:proofErr w:type="spellEnd"/>
      <w:r w:rsidRPr="003C76E1">
        <w:rPr>
          <w:rStyle w:val="comment-copy"/>
          <w:rFonts w:ascii="Times New Roman" w:hAnsi="Times New Roman" w:cs="Times New Roman"/>
          <w:lang w:val="lt-LT"/>
        </w:rPr>
        <w:t xml:space="preserve">. </w:t>
      </w:r>
      <w:r w:rsidRPr="003C76E1">
        <w:rPr>
          <w:rFonts w:ascii="Times New Roman" w:hAnsi="Times New Roman" w:cs="Times New Roman"/>
        </w:rPr>
        <w:t xml:space="preserve">Each element of the feature indicator vector </w:t>
      </w:r>
      <m:oMath>
        <m:sSub>
          <m:sSubPr>
            <m:ctrlPr>
              <w:rPr>
                <w:rFonts w:ascii="Cambria Math" w:hAnsi="Cambria Math" w:cs="Times New Roman"/>
                <w:i/>
              </w:rPr>
            </m:ctrlPr>
          </m:sSubPr>
          <m:e>
            <m:r>
              <w:rPr>
                <w:rFonts w:ascii="Cambria Math" w:eastAsia="Cambria Math" w:hAnsi="Cambria Math" w:cs="Times New Roman"/>
              </w:rPr>
              <m:t>w</m:t>
            </m:r>
          </m:e>
          <m:sub>
            <m:r>
              <w:rPr>
                <w:rFonts w:ascii="Cambria Math" w:eastAsia="Cambria Math" w:hAnsi="Cambria Math" w:cs="Times New Roman"/>
              </w:rPr>
              <m:t>sj</m:t>
            </m:r>
          </m:sub>
        </m:sSub>
      </m:oMath>
      <w:r w:rsidRPr="003C76E1">
        <w:rPr>
          <w:rFonts w:ascii="Times New Roman" w:hAnsi="Times New Roman" w:cs="Times New Roman"/>
        </w:rPr>
        <w:t xml:space="preserve"> that indicates important features for the cluster is g</w:t>
      </w:r>
      <w:proofErr w:type="spellStart"/>
      <w:r w:rsidRPr="003C76E1">
        <w:rPr>
          <w:rFonts w:ascii="Times New Roman" w:hAnsi="Times New Roman" w:cs="Times New Roman"/>
        </w:rPr>
        <w:t>enerated</w:t>
      </w:r>
      <w:proofErr w:type="spellEnd"/>
      <w:r w:rsidRPr="003C76E1">
        <w:rPr>
          <w:rFonts w:ascii="Times New Roman" w:hAnsi="Times New Roman" w:cs="Times New Roman"/>
        </w:rPr>
        <w:t xml:space="preserve"> according to a Bernoulli distribution with </w:t>
      </w:r>
      <w:proofErr w:type="spellStart"/>
      <w:r w:rsidRPr="003C76E1">
        <w:rPr>
          <w:rFonts w:ascii="Times New Roman" w:hAnsi="Times New Roman" w:cs="Times New Roman"/>
        </w:rPr>
        <w:t>hyperparameter</w:t>
      </w:r>
      <w:proofErr w:type="spellEnd"/>
      <w:r w:rsidRPr="003C76E1">
        <w:rPr>
          <w:rFonts w:ascii="Times New Roman" w:hAnsi="Times New Roman" w:cs="Times New Roman"/>
        </w:rPr>
        <w:t xml:space="preserve"> </w:t>
      </w:r>
      <m:oMath>
        <m:r>
          <w:rPr>
            <w:rFonts w:ascii="Cambria Math" w:hAnsi="Cambria Math" w:cs="Times New Roman"/>
          </w:rPr>
          <m:t>q</m:t>
        </m:r>
      </m:oMath>
      <w:r w:rsidRPr="003C76E1">
        <w:rPr>
          <w:rFonts w:ascii="Times New Roman" w:hAnsi="Times New Roman" w:cs="Times New Roman"/>
        </w:rPr>
        <w:t xml:space="preserve"> (Kim 2015). </w:t>
      </w:r>
      <w:r w:rsidRPr="003C76E1">
        <w:rPr>
          <w:rStyle w:val="comment-copy"/>
          <w:rFonts w:ascii="Times New Roman" w:hAnsi="Times New Roman" w:cs="Times New Roman"/>
          <w:lang w:val="lt-LT"/>
        </w:rPr>
        <w:t>T</w:t>
      </w:r>
      <w:r w:rsidRPr="003C76E1">
        <w:rPr>
          <w:rFonts w:ascii="Times New Roman" w:hAnsi="Times New Roman" w:cs="Times New Roman"/>
        </w:rPr>
        <w:t xml:space="preserve">he distribution of  feature outcomes </w:t>
      </w:r>
      <m:oMath>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r>
          <w:rPr>
            <w:rFonts w:ascii="Cambria Math" w:hAnsi="Cambria Math" w:cs="Times New Roman"/>
          </w:rPr>
          <m:t xml:space="preserve"> </m:t>
        </m:r>
      </m:oMath>
      <w:r w:rsidRPr="003C76E1">
        <w:rPr>
          <w:rFonts w:ascii="Times New Roman" w:hAnsi="Times New Roman" w:cs="Times New Roman"/>
        </w:rPr>
        <w:t xml:space="preserve"> for cluster s is generated so that it mostly takes outcomes from the prototype </w:t>
      </w:r>
      <m:oMath>
        <m:sSub>
          <m:sSubPr>
            <m:ctrlPr>
              <w:rPr>
                <w:rFonts w:ascii="Cambria Math" w:hAnsi="Cambria Math" w:cs="Times New Roman"/>
                <w:i/>
              </w:rPr>
            </m:ctrlPr>
          </m:sSubPr>
          <m:e>
            <m:r>
              <w:rPr>
                <w:rFonts w:ascii="Cambria Math" w:eastAsia="Cambria Math" w:hAnsi="Cambria Math" w:cs="Times New Roman"/>
              </w:rPr>
              <m:t>p</m:t>
            </m:r>
          </m:e>
          <m:sub>
            <m:r>
              <w:rPr>
                <w:rFonts w:ascii="Cambria Math" w:eastAsia="Cambria Math" w:hAnsi="Cambria Math" w:cs="Times New Roman"/>
              </w:rPr>
              <m:t xml:space="preserve">s </m:t>
            </m:r>
          </m:sub>
        </m:sSub>
      </m:oMath>
      <w:r w:rsidRPr="003C76E1">
        <w:rPr>
          <w:rFonts w:ascii="Times New Roman" w:eastAsiaTheme="minorEastAsia" w:hAnsi="Times New Roman" w:cs="Times New Roman"/>
        </w:rPr>
        <w:t xml:space="preserve">   for </w:t>
      </w:r>
      <w:r w:rsidRPr="003C76E1">
        <w:rPr>
          <w:rFonts w:ascii="Times New Roman" w:hAnsi="Times New Roman" w:cs="Times New Roman"/>
        </w:rPr>
        <w:t>the important dimensions of the cluster. It is determined by vector g</w:t>
      </w:r>
      <w:r w:rsidRPr="003C76E1">
        <w:rPr>
          <w:rFonts w:ascii="Times New Roman" w:hAnsi="Times New Roman" w:cs="Times New Roman"/>
          <w:i/>
        </w:rPr>
        <w:fldChar w:fldCharType="begin"/>
      </w:r>
      <w:r w:rsidRPr="003C76E1">
        <w:rPr>
          <w:rFonts w:ascii="Times New Roman" w:hAnsi="Times New Roman" w:cs="Times New Roman"/>
        </w:rPr>
        <w:instrText xml:space="preserve"> QUOTE </w:instrText>
      </w:r>
      <m:oMath>
        <m:r>
          <m:rPr>
            <m:sty m:val="p"/>
          </m:rPr>
          <w:rPr>
            <w:rFonts w:ascii="Cambria Math" w:eastAsia="Cambria Math" w:hAnsi="Cambria Math" w:cs="Times New Roman"/>
          </w:rPr>
          <m:t>g</m:t>
        </m:r>
      </m:oMath>
      <w:r w:rsidRPr="003C76E1">
        <w:rPr>
          <w:rFonts w:ascii="Times New Roman" w:hAnsi="Times New Roman" w:cs="Times New Roman"/>
        </w:rPr>
        <w:instrText xml:space="preserve"> </w:instrText>
      </w:r>
      <w:r w:rsidRPr="003C76E1">
        <w:rPr>
          <w:rFonts w:ascii="Times New Roman" w:hAnsi="Times New Roman" w:cs="Times New Roman"/>
          <w:i/>
        </w:rPr>
        <w:fldChar w:fldCharType="end"/>
      </w:r>
      <w:r w:rsidRPr="003C76E1">
        <w:rPr>
          <w:rFonts w:ascii="Times New Roman" w:hAnsi="Times New Roman" w:cs="Times New Roman"/>
        </w:rPr>
        <w:t xml:space="preserve"> indexed by possible outcomes </w:t>
      </w:r>
      <m:oMath>
        <m:r>
          <w:rPr>
            <w:rFonts w:ascii="Cambria Math" w:hAnsi="Cambria Math" w:cs="Times New Roman"/>
          </w:rPr>
          <m:t>v</m:t>
        </m:r>
      </m:oMath>
      <w:r w:rsidRPr="003C76E1">
        <w:rPr>
          <w:rFonts w:ascii="Times New Roman" w:hAnsi="Times New Roman" w:cs="Times New Roman"/>
        </w:rPr>
        <w:t xml:space="preserve"> through</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sj</m:t>
            </m:r>
          </m:sub>
        </m:sSub>
        <m:r>
          <w:rPr>
            <w:rFonts w:ascii="Cambria Math" w:eastAsia="DengXian" w:hAnsi="Cambria Math" w:cs="Times New Roman"/>
          </w:rPr>
          <m:t>~Dirichlet(</m:t>
        </m:r>
        <m:sSub>
          <m:sSubPr>
            <m:ctrlPr>
              <w:rPr>
                <w:rFonts w:ascii="Cambria Math" w:hAnsi="Cambria Math" w:cs="Times New Roman"/>
                <w:i/>
              </w:rPr>
            </m:ctrlPr>
          </m:sSubPr>
          <m:e>
            <m:r>
              <w:rPr>
                <w:rFonts w:ascii="Cambria Math" w:hAnsi="Cambria Math" w:cs="Times New Roman"/>
              </w:rPr>
              <m:t>g</m:t>
            </m:r>
          </m:e>
          <m: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sjλ,</m:t>
                </m:r>
              </m:sub>
            </m:sSub>
          </m:sub>
        </m:sSub>
        <m:r>
          <w:rPr>
            <w:rFonts w:ascii="Cambria Math" w:eastAsia="DengXian" w:hAnsi="Cambria Math" w:cs="Times New Roman"/>
          </w:rPr>
          <m:t>)</m:t>
        </m:r>
      </m:oMath>
      <w:r w:rsidRPr="003C76E1">
        <w:rPr>
          <w:rFonts w:ascii="Times New Roman" w:eastAsia="DengXian" w:hAnsi="Times New Roman" w:cs="Times New Roman"/>
        </w:rPr>
        <w:t>:</w:t>
      </w:r>
    </w:p>
    <w:tbl>
      <w:tblPr>
        <w:tblW w:w="6115" w:type="dxa"/>
        <w:tblInd w:w="1560" w:type="dxa"/>
        <w:tblLayout w:type="fixed"/>
        <w:tblCellMar>
          <w:left w:w="0" w:type="dxa"/>
          <w:right w:w="0" w:type="dxa"/>
        </w:tblCellMar>
        <w:tblLook w:val="0000" w:firstRow="0" w:lastRow="0" w:firstColumn="0" w:lastColumn="0" w:noHBand="0" w:noVBand="0"/>
      </w:tblPr>
      <w:tblGrid>
        <w:gridCol w:w="5755"/>
        <w:gridCol w:w="360"/>
      </w:tblGrid>
      <w:tr w:rsidR="003C76E1" w:rsidRPr="003C76E1" w:rsidTr="005E47DF">
        <w:trPr>
          <w:trHeight w:val="340"/>
        </w:trPr>
        <w:tc>
          <w:tcPr>
            <w:tcW w:w="5755" w:type="dxa"/>
            <w:shd w:val="clear" w:color="auto" w:fill="auto"/>
            <w:vAlign w:val="center"/>
          </w:tcPr>
          <w:p w:rsidR="003C76E1" w:rsidRPr="003C76E1" w:rsidRDefault="003C76E1" w:rsidP="005E47DF">
            <w:pPr>
              <w:pStyle w:val="MDPI31text"/>
              <w:spacing w:line="240" w:lineRule="auto"/>
              <w:ind w:left="0" w:firstLine="0"/>
              <w:rPr>
                <w:rFonts w:ascii="Times New Roman" w:eastAsia="DengXian" w:hAnsi="Times New Roman"/>
                <w:color w:val="auto"/>
                <w:sz w:val="22"/>
              </w:rPr>
            </w:pPr>
            <w:r w:rsidRPr="003C76E1">
              <w:rPr>
                <w:rFonts w:ascii="Times New Roman" w:eastAsiaTheme="minorEastAsia" w:hAnsi="Times New Roman"/>
                <w:color w:val="auto"/>
                <w:sz w:val="22"/>
              </w:rPr>
              <w:t xml:space="preserve"> </w:t>
            </w:r>
            <m:oMath>
              <m:sSub>
                <m:sSubPr>
                  <m:ctrlPr>
                    <w:rPr>
                      <w:rFonts w:ascii="Cambria Math" w:hAnsi="Cambria Math"/>
                      <w:i/>
                      <w:color w:val="auto"/>
                      <w:sz w:val="22"/>
                    </w:rPr>
                  </m:ctrlPr>
                </m:sSubPr>
                <m:e>
                  <m:r>
                    <w:rPr>
                      <w:rFonts w:ascii="Cambria Math" w:hAnsi="Cambria Math"/>
                      <w:color w:val="auto"/>
                      <w:sz w:val="22"/>
                    </w:rPr>
                    <m:t>g</m:t>
                  </m:r>
                </m:e>
                <m:sub>
                  <m:sSub>
                    <m:sSubPr>
                      <m:ctrlPr>
                        <w:rPr>
                          <w:rFonts w:ascii="Cambria Math" w:hAnsi="Cambria Math"/>
                          <w:i/>
                          <w:color w:val="auto"/>
                          <w:sz w:val="22"/>
                        </w:rPr>
                      </m:ctrlPr>
                    </m:sSubPr>
                    <m:e>
                      <m:r>
                        <w:rPr>
                          <w:rFonts w:ascii="Cambria Math" w:hAnsi="Cambria Math"/>
                          <w:color w:val="auto"/>
                          <w:sz w:val="22"/>
                        </w:rPr>
                        <m:t>p</m:t>
                      </m:r>
                    </m:e>
                    <m:sub>
                      <m:r>
                        <w:rPr>
                          <w:rFonts w:ascii="Cambria Math" w:hAnsi="Cambria Math"/>
                          <w:color w:val="auto"/>
                          <w:sz w:val="22"/>
                        </w:rPr>
                        <m:t>sj</m:t>
                      </m:r>
                    </m:sub>
                  </m:sSub>
                  <m:r>
                    <w:rPr>
                      <w:rFonts w:ascii="Cambria Math" w:hAnsi="Cambria Math"/>
                      <w:color w:val="auto"/>
                      <w:sz w:val="22"/>
                    </w:rPr>
                    <m:t>,</m:t>
                  </m:r>
                  <m:sSub>
                    <m:sSubPr>
                      <m:ctrlPr>
                        <w:rPr>
                          <w:rFonts w:ascii="Cambria Math" w:hAnsi="Cambria Math"/>
                          <w:i/>
                          <w:color w:val="auto"/>
                          <w:sz w:val="22"/>
                        </w:rPr>
                      </m:ctrlPr>
                    </m:sSubPr>
                    <m:e>
                      <m:r>
                        <w:rPr>
                          <w:rFonts w:ascii="Cambria Math" w:hAnsi="Cambria Math"/>
                          <w:color w:val="auto"/>
                          <w:sz w:val="22"/>
                        </w:rPr>
                        <m:t>w</m:t>
                      </m:r>
                    </m:e>
                    <m:sub>
                      <m:r>
                        <w:rPr>
                          <w:rFonts w:ascii="Cambria Math" w:hAnsi="Cambria Math"/>
                          <w:color w:val="auto"/>
                          <w:sz w:val="22"/>
                        </w:rPr>
                        <m:t>sjλ,</m:t>
                      </m:r>
                    </m:sub>
                  </m:sSub>
                </m:sub>
              </m:sSub>
              <m:d>
                <m:dPr>
                  <m:ctrlPr>
                    <w:rPr>
                      <w:rFonts w:ascii="Cambria Math" w:eastAsia="DengXian" w:hAnsi="Cambria Math"/>
                      <w:i/>
                      <w:color w:val="auto"/>
                      <w:sz w:val="22"/>
                    </w:rPr>
                  </m:ctrlPr>
                </m:dPr>
                <m:e>
                  <m:r>
                    <w:rPr>
                      <w:rFonts w:ascii="Cambria Math" w:eastAsia="DengXian" w:hAnsi="Cambria Math"/>
                      <w:color w:val="auto"/>
                      <w:sz w:val="22"/>
                    </w:rPr>
                    <m:t>v</m:t>
                  </m:r>
                </m:e>
              </m:d>
              <m:r>
                <w:rPr>
                  <w:rFonts w:ascii="Cambria Math" w:eastAsia="DengXian" w:hAnsi="Cambria Math"/>
                  <w:color w:val="auto"/>
                  <w:sz w:val="22"/>
                </w:rPr>
                <m:t>=λ</m:t>
              </m:r>
              <m:d>
                <m:dPr>
                  <m:ctrlPr>
                    <w:rPr>
                      <w:rFonts w:ascii="Cambria Math" w:eastAsia="DengXian" w:hAnsi="Cambria Math"/>
                      <w:i/>
                      <w:color w:val="auto"/>
                      <w:sz w:val="22"/>
                    </w:rPr>
                  </m:ctrlPr>
                </m:dPr>
                <m:e>
                  <m:r>
                    <w:rPr>
                      <w:rFonts w:ascii="Cambria Math" w:eastAsia="DengXian" w:hAnsi="Cambria Math"/>
                      <w:color w:val="auto"/>
                      <w:sz w:val="22"/>
                    </w:rPr>
                    <m:t>1+c</m:t>
                  </m:r>
                  <m:sSub>
                    <m:sSubPr>
                      <m:ctrlPr>
                        <w:rPr>
                          <w:rFonts w:ascii="Cambria Math" w:hAnsi="Cambria Math"/>
                          <w:i/>
                          <w:color w:val="auto"/>
                          <w:sz w:val="22"/>
                        </w:rPr>
                      </m:ctrlPr>
                    </m:sSubPr>
                    <m:e>
                      <m:r>
                        <m:rPr>
                          <m:sty m:val="bi"/>
                        </m:rPr>
                        <w:rPr>
                          <w:rFonts w:ascii="Cambria Math" w:hAnsi="Cambria Math"/>
                          <w:color w:val="auto"/>
                          <w:sz w:val="22"/>
                        </w:rPr>
                        <m:t>1</m:t>
                      </m:r>
                    </m:e>
                    <m:sub>
                      <m:d>
                        <m:dPr>
                          <m:begChr m:val="["/>
                          <m:endChr m:val="]"/>
                          <m:ctrlPr>
                            <w:rPr>
                              <w:rFonts w:ascii="Cambria Math" w:hAnsi="Cambria Math"/>
                              <w:i/>
                              <w:color w:val="auto"/>
                              <w:sz w:val="22"/>
                            </w:rPr>
                          </m:ctrlPr>
                        </m:dPr>
                        <m:e>
                          <m:sSub>
                            <m:sSubPr>
                              <m:ctrlPr>
                                <w:rPr>
                                  <w:rFonts w:ascii="Cambria Math" w:hAnsi="Cambria Math"/>
                                  <w:i/>
                                  <w:color w:val="auto"/>
                                  <w:sz w:val="22"/>
                                </w:rPr>
                              </m:ctrlPr>
                            </m:sSubPr>
                            <m:e>
                              <m:r>
                                <w:rPr>
                                  <w:rFonts w:ascii="Cambria Math" w:hAnsi="Cambria Math"/>
                                  <w:color w:val="auto"/>
                                  <w:sz w:val="22"/>
                                </w:rPr>
                                <m:t>w</m:t>
                              </m:r>
                            </m:e>
                            <m:sub>
                              <m:r>
                                <w:rPr>
                                  <w:rFonts w:ascii="Cambria Math" w:hAnsi="Cambria Math"/>
                                  <w:color w:val="auto"/>
                                  <w:sz w:val="22"/>
                                </w:rPr>
                                <m:t>sj</m:t>
                              </m:r>
                            </m:sub>
                          </m:sSub>
                          <m:r>
                            <w:rPr>
                              <w:rFonts w:ascii="Cambria Math" w:hAnsi="Cambria Math"/>
                              <w:color w:val="auto"/>
                              <w:sz w:val="22"/>
                            </w:rPr>
                            <m:t xml:space="preserve">=1 and </m:t>
                          </m:r>
                          <m:sSub>
                            <m:sSubPr>
                              <m:ctrlPr>
                                <w:rPr>
                                  <w:rFonts w:ascii="Cambria Math" w:hAnsi="Cambria Math"/>
                                  <w:i/>
                                  <w:color w:val="auto"/>
                                  <w:sz w:val="22"/>
                                </w:rPr>
                              </m:ctrlPr>
                            </m:sSubPr>
                            <m:e>
                              <m:r>
                                <w:rPr>
                                  <w:rFonts w:ascii="Cambria Math" w:hAnsi="Cambria Math"/>
                                  <w:color w:val="auto"/>
                                  <w:sz w:val="22"/>
                                </w:rPr>
                                <m:t>p</m:t>
                              </m:r>
                            </m:e>
                            <m:sub>
                              <m:r>
                                <w:rPr>
                                  <w:rFonts w:ascii="Cambria Math" w:hAnsi="Cambria Math"/>
                                  <w:color w:val="auto"/>
                                  <w:sz w:val="22"/>
                                </w:rPr>
                                <m:t>sj</m:t>
                              </m:r>
                            </m:sub>
                          </m:sSub>
                          <m:r>
                            <w:rPr>
                              <w:rFonts w:ascii="Cambria Math" w:hAnsi="Cambria Math"/>
                              <w:color w:val="auto"/>
                              <w:sz w:val="22"/>
                            </w:rPr>
                            <m:t>=θ</m:t>
                          </m:r>
                        </m:e>
                      </m:d>
                    </m:sub>
                  </m:sSub>
                  <m:ctrlPr>
                    <w:rPr>
                      <w:rFonts w:ascii="Cambria Math" w:hAnsi="Cambria Math"/>
                      <w:i/>
                      <w:color w:val="auto"/>
                      <w:sz w:val="22"/>
                    </w:rPr>
                  </m:ctrlPr>
                </m:e>
              </m:d>
              <m:r>
                <w:rPr>
                  <w:rFonts w:ascii="Cambria Math" w:hAnsi="Cambria Math"/>
                  <w:color w:val="auto"/>
                  <w:sz w:val="22"/>
                </w:rPr>
                <m:t>.</m:t>
              </m:r>
            </m:oMath>
            <w:r w:rsidRPr="003C76E1">
              <w:rPr>
                <w:rFonts w:ascii="Times New Roman" w:eastAsia="DengXian" w:hAnsi="Times New Roman"/>
                <w:color w:val="auto"/>
                <w:sz w:val="22"/>
              </w:rPr>
              <w:t xml:space="preserve">   </w:t>
            </w:r>
            <w:r w:rsidRPr="003C76E1">
              <w:rPr>
                <w:rFonts w:ascii="Times New Roman" w:eastAsia="DengXian" w:hAnsi="Times New Roman"/>
                <w:color w:val="C00000"/>
                <w:sz w:val="22"/>
              </w:rPr>
              <w:t xml:space="preserve">                    </w:t>
            </w:r>
            <w:r w:rsidRPr="003C76E1">
              <w:rPr>
                <w:rFonts w:ascii="Times New Roman" w:hAnsi="Times New Roman"/>
                <w:sz w:val="22"/>
                <w:lang w:val="lt-LT"/>
              </w:rPr>
              <w:t>(1.</w:t>
            </w:r>
            <w:r w:rsidRPr="003C76E1">
              <w:rPr>
                <w:rFonts w:ascii="Times New Roman" w:hAnsi="Times New Roman"/>
                <w:sz w:val="22"/>
              </w:rPr>
              <w:t>16</w:t>
            </w:r>
            <w:r w:rsidRPr="003C76E1">
              <w:rPr>
                <w:rFonts w:ascii="Times New Roman" w:hAnsi="Times New Roman"/>
                <w:sz w:val="22"/>
                <w:lang w:val="lt-LT"/>
              </w:rPr>
              <w:t>)</w:t>
            </w:r>
            <w:r w:rsidRPr="003C76E1">
              <w:rPr>
                <w:rFonts w:ascii="Times New Roman" w:eastAsia="DengXian" w:hAnsi="Times New Roman"/>
                <w:color w:val="C00000"/>
                <w:sz w:val="22"/>
              </w:rPr>
              <w:t xml:space="preserve">                                                    </w:t>
            </w:r>
          </w:p>
        </w:tc>
        <w:tc>
          <w:tcPr>
            <w:tcW w:w="360" w:type="dxa"/>
            <w:shd w:val="clear" w:color="auto" w:fill="auto"/>
            <w:vAlign w:val="center"/>
          </w:tcPr>
          <w:p w:rsidR="003C76E1" w:rsidRPr="003C76E1" w:rsidRDefault="003C76E1" w:rsidP="005E47DF">
            <w:pPr>
              <w:pStyle w:val="MDPI31text"/>
              <w:spacing w:before="120" w:after="120" w:line="260" w:lineRule="atLeast"/>
              <w:ind w:left="0" w:right="-81" w:firstLine="0"/>
              <w:rPr>
                <w:rFonts w:ascii="Times New Roman" w:eastAsia="DengXian" w:hAnsi="Times New Roman"/>
                <w:color w:val="auto"/>
                <w:sz w:val="22"/>
              </w:rPr>
            </w:pPr>
          </w:p>
        </w:tc>
      </w:tr>
    </w:tbl>
    <w:p w:rsidR="003C76E1" w:rsidRPr="003C76E1" w:rsidRDefault="003C76E1" w:rsidP="003C76E1">
      <w:pPr>
        <w:pStyle w:val="MDPI31text"/>
        <w:ind w:left="0" w:firstLine="397"/>
        <w:rPr>
          <w:rFonts w:ascii="Times New Roman" w:hAnsi="Times New Roman"/>
          <w:i/>
          <w:color w:val="auto"/>
          <w:sz w:val="22"/>
        </w:rPr>
      </w:pPr>
      <w:r w:rsidRPr="003C76E1">
        <w:rPr>
          <w:rFonts w:ascii="Times New Roman" w:hAnsi="Times New Roman"/>
          <w:color w:val="auto"/>
          <w:sz w:val="22"/>
        </w:rPr>
        <w:t xml:space="preserve">Here, </w:t>
      </w:r>
      <m:oMath>
        <m:r>
          <w:rPr>
            <w:rFonts w:ascii="Cambria Math" w:hAnsi="Cambria Math"/>
            <w:color w:val="auto"/>
            <w:sz w:val="22"/>
          </w:rPr>
          <m:t>c</m:t>
        </m:r>
      </m:oMath>
      <w:r w:rsidRPr="003C76E1">
        <w:rPr>
          <w:rFonts w:ascii="Times New Roman" w:hAnsi="Times New Roman"/>
          <w:color w:val="auto"/>
          <w:sz w:val="22"/>
        </w:rPr>
        <w:t xml:space="preserve"> and </w:t>
      </w:r>
      <m:oMath>
        <m:r>
          <w:rPr>
            <w:rFonts w:ascii="Cambria Math" w:hAnsi="Cambria Math"/>
            <w:color w:val="auto"/>
            <w:sz w:val="22"/>
          </w:rPr>
          <m:t>λ</m:t>
        </m:r>
      </m:oMath>
      <w:r w:rsidRPr="003C76E1">
        <w:rPr>
          <w:rFonts w:ascii="Times New Roman" w:hAnsi="Times New Roman"/>
          <w:color w:val="auto"/>
          <w:sz w:val="22"/>
        </w:rPr>
        <w:t xml:space="preserve"> are constant hyperparameters that indicate how much we will copy the prototype in order to generate the observations </w:t>
      </w:r>
      <w:r w:rsidRPr="003C76E1">
        <w:rPr>
          <w:rFonts w:ascii="Times New Roman" w:hAnsi="Times New Roman"/>
          <w:sz w:val="22"/>
        </w:rPr>
        <w:t>(Kim 2015).</w:t>
      </w:r>
    </w:p>
    <w:bookmarkEnd w:id="0"/>
    <w:p w:rsidR="002E4FEB" w:rsidRDefault="002E4FEB"/>
    <w:sectPr w:rsidR="002E4FE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E1"/>
    <w:rsid w:val="002E4FEB"/>
    <w:rsid w:val="003C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9DCAF-C1FD-4FFF-821E-E07CC621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sid w:val="003C76E1"/>
    <w:pPr>
      <w:spacing w:after="0" w:line="240" w:lineRule="auto"/>
    </w:pPr>
    <w:rPr>
      <w:rFonts w:ascii="Times New Roman" w:eastAsia="Times New Roman" w:hAnsi="Times New Roman" w:cs="Times New Roman"/>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Betarp">
    <w:name w:val="No Spacing"/>
    <w:uiPriority w:val="1"/>
    <w:qFormat/>
    <w:rsid w:val="003C76E1"/>
    <w:pPr>
      <w:spacing w:after="0" w:line="240" w:lineRule="auto"/>
    </w:pPr>
  </w:style>
  <w:style w:type="character" w:customStyle="1" w:styleId="highlight">
    <w:name w:val="highlight"/>
    <w:basedOn w:val="Numatytasispastraiposriftas"/>
    <w:rsid w:val="003C76E1"/>
  </w:style>
  <w:style w:type="paragraph" w:customStyle="1" w:styleId="MDPI31text">
    <w:name w:val="MDPI_3.1_text"/>
    <w:qFormat/>
    <w:rsid w:val="003C76E1"/>
    <w:pPr>
      <w:adjustRightInd w:val="0"/>
      <w:snapToGrid w:val="0"/>
      <w:spacing w:after="0" w:line="228" w:lineRule="auto"/>
      <w:ind w:left="2608" w:firstLine="425"/>
      <w:jc w:val="both"/>
    </w:pPr>
    <w:rPr>
      <w:rFonts w:ascii="Palatino Linotype" w:eastAsia="Times New Roman" w:hAnsi="Palatino Linotype" w:cs="Times New Roman"/>
      <w:snapToGrid w:val="0"/>
      <w:color w:val="000000"/>
      <w:sz w:val="20"/>
      <w:lang w:eastAsia="de-DE" w:bidi="en-US"/>
    </w:rPr>
  </w:style>
  <w:style w:type="character" w:customStyle="1" w:styleId="comment-copy">
    <w:name w:val="comment-copy"/>
    <w:rsid w:val="003C76E1"/>
  </w:style>
  <w:style w:type="character" w:customStyle="1" w:styleId="notecontentvalue">
    <w:name w:val="note_content_value"/>
    <w:rsid w:val="003C7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1758</Characters>
  <Application>Microsoft Office Word</Application>
  <DocSecurity>0</DocSecurity>
  <Lines>14</Lines>
  <Paragraphs>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Daiva1</dc:creator>
  <cp:keywords/>
  <dc:description/>
  <cp:lastModifiedBy>Daiva1</cp:lastModifiedBy>
  <cp:revision>1</cp:revision>
  <dcterms:created xsi:type="dcterms:W3CDTF">2024-02-27T19:41:00Z</dcterms:created>
  <dcterms:modified xsi:type="dcterms:W3CDTF">2024-02-27T19:42:00Z</dcterms:modified>
</cp:coreProperties>
</file>