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anexo-a-glosario-y-catálogos"/>
    <w:p>
      <w:pPr>
        <w:pStyle w:val="Heading1"/>
      </w:pPr>
      <w:r>
        <w:t xml:space="preserve">Anexo A: Glosario y Catálogos</w:t>
      </w:r>
    </w:p>
    <w:p>
      <w:pPr>
        <w:pStyle w:val="FirstParagraph"/>
      </w:pPr>
      <w:r>
        <w:rPr>
          <w:i/>
          <w:iCs/>
        </w:rPr>
        <w:t xml:space="preserve">Propósito: Definir y centralizar todos los vocabularios controlados (listas de valores, enumeraciones) que se utilizan a lo largo del dominio. Este anexo es la fuente única de verdad para los valores permitidos en los atributos de las entidades.</w:t>
      </w:r>
    </w:p>
    <w:p>
      <w:r>
        <w:pict>
          <v:rect style="width:0;height:1.5pt" o:hralign="center" o:hrstd="t" o:hr="t"/>
        </w:pict>
      </w:r>
    </w:p>
    <w:bookmarkStart w:id="24" w:name="catálogos-de-estado-y-tipología"/>
    <w:p>
      <w:pPr>
        <w:pStyle w:val="Heading2"/>
      </w:pPr>
      <w:r>
        <w:t xml:space="preserve">1. Catálogos de Estado y Tipología</w:t>
      </w:r>
    </w:p>
    <w:bookmarkStart w:id="20" w:name="X2feba4baebd149d59f671256f48af6eed45ea0b"/>
    <w:p>
      <w:pPr>
        <w:pStyle w:val="Heading3"/>
      </w:pPr>
      <w:r>
        <w:t xml:space="preserve">1.1. Catálogo de Estados de</w:t>
      </w:r>
      <w:r>
        <w:t xml:space="preserve"> </w:t>
      </w:r>
      <w:r>
        <w:rPr>
          <w:rStyle w:val="VerbatimChar"/>
        </w:rPr>
        <w:t xml:space="preserve">PrestacionEconomica</w:t>
      </w:r>
    </w:p>
    <w:p>
      <w:pPr>
        <w:pStyle w:val="FirstParagraph"/>
      </w:pPr>
      <w:r>
        <w:rPr>
          <w:i/>
          <w:iCs/>
        </w:rPr>
        <w:t xml:space="preserve">Define el estado principal en el ciclo de vida de un beneficio.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En_Evaluacion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prestación ha sido solicitada y se están recopilando y validando antecedentes.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prestación ha sido aprobada y está generando pagos.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Activa_Transitoria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prestación corresponde a una</w:t>
            </w:r>
            <w:r>
              <w:t xml:space="preserve"> </w:t>
            </w:r>
            <w:r>
              <w:rPr>
                <w:b/>
                <w:bCs/>
              </w:rPr>
              <w:t xml:space="preserve">Pensión de Invalidez Total Transitoria</w:t>
            </w:r>
            <w:r>
              <w:t xml:space="preserve">, otorgada al agotarse el período máximo de subsidio (104 semanas) mientras existen terapias pendientes. No es un estado genérico.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Denegada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solicitud de prestación ha sido rechazada formalmente.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Suspendida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pago de la prestación ha sido detenido temporalmente por una causa específica (ver Códigos de Inactivación).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derecho a la prestación ha terminado de forma definitiva.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Otorgada_Retenida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ha otorgado el derecho, pero el pago está retenido hasta que se regularice una condición (ej. deuda de cotizaciones).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En_Revision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prestación está siendo re-evaluada por una solicitud de revisión o un dictamen.</w:t>
            </w:r>
          </w:p>
        </w:tc>
      </w:tr>
    </w:tbl>
    <w:bookmarkEnd w:id="20"/>
    <w:bookmarkStart w:id="21" w:name="catálogo-de-códigos-de-inactivación"/>
    <w:p>
      <w:pPr>
        <w:pStyle w:val="Heading3"/>
      </w:pPr>
      <w:r>
        <w:t xml:space="preserve">1.2. Catálogo de Códigos de Inactivación</w:t>
      </w:r>
    </w:p>
    <w:p>
      <w:pPr>
        <w:pStyle w:val="FirstParagraph"/>
      </w:pPr>
      <w:r>
        <w:rPr>
          <w:i/>
          <w:iCs/>
        </w:rPr>
        <w:t xml:space="preserve">Detalla la razón específica por la cual una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PrestacionEconomica</w:t>
      </w:r>
      <w:r>
        <w:rPr>
          <w:i/>
          <w:iCs/>
        </w:rPr>
        <w:t xml:space="preserve"> </w:t>
      </w:r>
      <w:r>
        <w:rPr>
          <w:i/>
          <w:iCs/>
        </w:rPr>
        <w:t xml:space="preserve">se encuentra en estado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Suspendida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Cesada</w:t>
      </w:r>
      <w:r>
        <w:rPr>
          <w:i/>
          <w:iCs/>
        </w:rP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Larga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Asociado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Inactivación (Activa)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Cese por Cumplimiento de Edad de Vejez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Cesada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Cese por Nuevo Vínculo (Matrimonio/AUC)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Cesada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Cese por Fallecimiento del Beneficiario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Cesada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Suspensión Viudez por Inactivación de Carga Familiar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Suspendida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Suspensión Orfandad por Falta de Certificado de Estudios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Suspendida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Suspensión por Negativa a Tratamiento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Suspendida</w:t>
            </w:r>
          </w:p>
        </w:tc>
      </w:tr>
    </w:tbl>
    <w:bookmarkEnd w:id="21"/>
    <w:bookmarkStart w:id="22" w:name="catálogo-de-tipos-de-prestacioneconomica"/>
    <w:p>
      <w:pPr>
        <w:pStyle w:val="Heading3"/>
      </w:pPr>
      <w:r>
        <w:t xml:space="preserve">1.3. Catálogo de Tipos de</w:t>
      </w:r>
      <w:r>
        <w:t xml:space="preserve"> </w:t>
      </w:r>
      <w:r>
        <w:rPr>
          <w:rStyle w:val="VerbatimChar"/>
        </w:rPr>
        <w:t xml:space="preserve">PrestacionEconomica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Indemnizacion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 único por incapacidad permanente parcial.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PensionInvalidezParcial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Pensión mensual por invalidez parcial.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PensionInvalidezTotal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Pensión mensual por invalidez total.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PensionInvalidezTransitoria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Pensión mensual de carácter temporal.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PensionSobrevivencia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Pensión para beneficiarios de un causante fallecido.</w:t>
            </w:r>
          </w:p>
        </w:tc>
      </w:tr>
    </w:tbl>
    <w:bookmarkEnd w:id="22"/>
    <w:bookmarkStart w:id="23" w:name="X1062f26f7e647498b4651c4d7c12a9302f88e46"/>
    <w:p>
      <w:pPr>
        <w:pStyle w:val="Heading3"/>
      </w:pPr>
      <w:r>
        <w:t xml:space="preserve">1.4. Catálogo de Tipos de</w:t>
      </w:r>
      <w:r>
        <w:t xml:space="preserve"> </w:t>
      </w:r>
      <w:r>
        <w:rPr>
          <w:rStyle w:val="VerbatimChar"/>
        </w:rPr>
        <w:t xml:space="preserve">HechoCausal</w:t>
      </w:r>
      <w:r>
        <w:t xml:space="preserve"> </w:t>
      </w:r>
      <w:r>
        <w:t xml:space="preserve">(Siniestro)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AccidenteTrabajo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Accidente ocurrido a causa o con ocasión del trabajo.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AccidenteTrayecto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Accidente ocurrido en el trayecto directo entre la habitación y el lugar de trabajo.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EnfermedadProfesional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Enfermedad causada de manera directa por el ejercicio de la profesión.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Fallecimiento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Muerte del trabajador o pensionado.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catálogos-de-actores-y-acuerdos"/>
    <w:p>
      <w:pPr>
        <w:pStyle w:val="Heading2"/>
      </w:pPr>
      <w:r>
        <w:t xml:space="preserve">2. Catálogos de Actores y Acuerdos</w:t>
      </w:r>
    </w:p>
    <w:bookmarkStart w:id="26" w:name="catálogo-de-roles-y-terceros"/>
    <w:p>
      <w:pPr>
        <w:pStyle w:val="Heading3"/>
      </w:pPr>
      <w:r>
        <w:t xml:space="preserve">2.1. Catálogo de Roles y Terceros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Trabajador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persona que origina el derecho a prestación.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BeneficiarioSobrevivencia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con derecho a pensión de sobrevivencia.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CausanteAsignacionFamiliar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familiar reconocida que genera derecho a asignación.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Apoderado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con poder para actuar en nombre de un beneficiario.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Empleador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para la cual el trabajador presta servicios.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OrganismoAdministrador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Mutualidad o ISL.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EnteRegulador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SUSESO, COMERE,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EntidadExterna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 otra institución (ej. AFP, Isapre, CCAF).</w:t>
            </w:r>
          </w:p>
        </w:tc>
      </w:tr>
    </w:tbl>
    <w:bookmarkStart w:id="25" w:name="X670dd3dd16837724260772bd3324e1a0703cad3"/>
    <w:p>
      <w:pPr>
        <w:pStyle w:val="Heading4"/>
      </w:pPr>
      <w:r>
        <w:t xml:space="preserve">2.1.1. Catálogo de Tipos de Beneficiario de Sobrevivencia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CONYUGE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Cónyuge sobreviviente.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CONVIVIENTE_CIVIL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Conviviente civil sobreviviente, en virtud de un Acuerdo de Unión Civil (AUC) vigente.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HIJO_MENOR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Hijo menor de 18 años.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HIJO_ESTUDIANTE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Hijo mayor de 18 y menor de 24 años, que acredite estudios.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HIJO_INVALIDO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Hijo inválido de cualquier edad.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MADRE_HIJOS_CAUSANTE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Madre de los hijos del causante (soltera, viuda o divorciada) que vivía a expensas de éste.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PADRES_CAUSANTE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Padre o madre del causante que vivían a expensas de éste.</w:t>
            </w:r>
          </w:p>
        </w:tc>
      </w:tr>
    </w:tbl>
    <w:bookmarkEnd w:id="25"/>
    <w:bookmarkEnd w:id="26"/>
    <w:bookmarkStart w:id="27" w:name="catálogo-de-tipos-de-acuerdodepago"/>
    <w:p>
      <w:pPr>
        <w:pStyle w:val="Heading3"/>
      </w:pPr>
      <w:r>
        <w:t xml:space="preserve">2.2. Catálogo de Tipos de</w:t>
      </w:r>
      <w:r>
        <w:t xml:space="preserve"> </w:t>
      </w:r>
      <w:r>
        <w:rPr>
          <w:rStyle w:val="VerbatimChar"/>
        </w:rPr>
        <w:t xml:space="preserve">AcuerdoDePago</w:t>
      </w:r>
    </w:p>
    <w:p>
      <w:pPr>
        <w:pStyle w:val="FirstParagraph"/>
      </w:pPr>
      <w:r>
        <w:rPr>
          <w:i/>
          <w:iCs/>
        </w:rPr>
        <w:t xml:space="preserve">Clasifica la naturaleza legal y funcional de cualquier instrucción que altere el pago de una prestación.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PagoTitular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beneficiario de la prestación es el cobrador por defecto.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Apoderado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tercero cobra en nombre del titular, con poder notarial.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tercero cobra en nombre de un titular declarado interdicto.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RetencionJudicial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tercero (demandante) recibe una parte de la pensión por orden de un tribunal.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PagoDirectoAsignacionFamiliar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causante de asignación familiar solicita recibir el monto de ese beneficio directamente.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DescuentoInternoProgramado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Descuento por deudas internas (ej. Asignación Familiar indebida), a menudo en cuotas.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DescuentoExternoConvenio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Descuento por convenios con terceros (ej. CCAF).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7" w:name="catálogos-de-liquidación-y-financieros"/>
    <w:p>
      <w:pPr>
        <w:pStyle w:val="Heading2"/>
      </w:pPr>
      <w:r>
        <w:t xml:space="preserve">3. Catálogos de Liquidación y Financieros</w:t>
      </w:r>
    </w:p>
    <w:bookmarkStart w:id="33" w:name="catálogo-de-conceptos-de-liquidación-ccl"/>
    <w:p>
      <w:pPr>
        <w:pStyle w:val="Heading3"/>
      </w:pPr>
      <w:r>
        <w:t xml:space="preserve">3.1. Catálogo de Conceptos de Liquidación (CCL)</w:t>
      </w:r>
    </w:p>
    <w:bookmarkStart w:id="29" w:name="propósito-y-estructura"/>
    <w:p>
      <w:pPr>
        <w:pStyle w:val="Heading4"/>
      </w:pPr>
      <w:r>
        <w:t xml:space="preserve">3.1.1. Propósito y Estructura</w:t>
      </w:r>
    </w:p>
    <w:p>
      <w:pPr>
        <w:pStyle w:val="FirstParagraph"/>
      </w:pPr>
      <w:r>
        <w:t xml:space="preserve">El Catálogo de Conceptos de Liquidación (CCL) es el registro maestro y la fuente única de verdad para cada línea de haber o descuento que puede componer una</w:t>
      </w:r>
      <w:r>
        <w:t xml:space="preserve"> </w:t>
      </w:r>
      <w:r>
        <w:rPr>
          <w:rStyle w:val="VerbatimChar"/>
        </w:rPr>
        <w:t xml:space="preserve">LiquidacionDePago</w:t>
      </w:r>
      <w:r>
        <w:t xml:space="preserve">. Su propósito es estandarizar la nomenclatura, asociar cada concepto a una regla de negocio específica y vincularlo a su fundamento normativo.</w:t>
      </w:r>
    </w:p>
    <w:p>
      <w:pPr>
        <w:pStyle w:val="BodyText"/>
      </w:pPr>
      <w:r>
        <w:t xml:space="preserve">Cada</w:t>
      </w:r>
      <w:r>
        <w:t xml:space="preserve"> </w:t>
      </w:r>
      <w:r>
        <w:rPr>
          <w:rStyle w:val="VerbatimChar"/>
        </w:rPr>
        <w:t xml:space="preserve">ConceptoLiquidacion</w:t>
      </w:r>
      <w:r>
        <w:t xml:space="preserve"> </w:t>
      </w:r>
      <w:r>
        <w:t xml:space="preserve">en el sistema debe originarse a partir de una entrada en este catálogo.</w:t>
      </w:r>
    </w:p>
    <w:p>
      <w:pPr>
        <w:pStyle w:val="BodyText"/>
      </w:pPr>
      <w:r>
        <w:t xml:space="preserve">La estructura del catálogo es la siguiente: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Código Concepto:</w:t>
      </w:r>
      <w:r>
        <w:t xml:space="preserve"> </w:t>
      </w:r>
      <w:r>
        <w:t xml:space="preserve">Identificador único y programático del concepto. Sigue la nomenclatura</w:t>
      </w:r>
      <w:r>
        <w:t xml:space="preserve"> </w:t>
      </w:r>
      <w:r>
        <w:rPr>
          <w:rStyle w:val="VerbatimChar"/>
        </w:rPr>
        <w:t xml:space="preserve">TIPO-ORIGEN-ID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Descripción:</w:t>
      </w:r>
      <w:r>
        <w:t xml:space="preserve"> </w:t>
      </w:r>
      <w:r>
        <w:t xml:space="preserve">Nombre funcional y claro del concepto, tal como podría aparecer en una liquidación para el beneficiario.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Define la naturaleza contable del concepto: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Haber</w:t>
      </w:r>
      <w:r>
        <w:t xml:space="preserve">: Suma al monto bruto de la liquidación.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Descuento</w:t>
      </w:r>
      <w:r>
        <w:t xml:space="preserve">: Resta del monto bruto de la liquidación.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Regla de Negocio (RDN) Asociada:</w:t>
      </w:r>
      <w:r>
        <w:t xml:space="preserve"> </w:t>
      </w:r>
      <w:r>
        <w:t xml:space="preserve">La regla de cálculo (</w:t>
      </w:r>
      <w:r>
        <w:rPr>
          <w:rStyle w:val="VerbatimChar"/>
        </w:rPr>
        <w:t xml:space="preserve">CALC</w:t>
      </w:r>
      <w:r>
        <w:t xml:space="preserve">) específica que determina el monto del concepto.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Fuente Normativa:</w:t>
      </w:r>
      <w:r>
        <w:t xml:space="preserve"> </w:t>
      </w:r>
      <w:r>
        <w:t xml:space="preserve">Referencia directa al artículo o sección del Compendio u otra ley que fundamenta la existencia y cálculo del concepto.</w:t>
      </w:r>
    </w:p>
    <w:bookmarkEnd w:id="29"/>
    <w:bookmarkStart w:id="32" w:name="catálogo-detallado"/>
    <w:p>
      <w:pPr>
        <w:pStyle w:val="Heading4"/>
      </w:pPr>
      <w:r>
        <w:t xml:space="preserve">3.1.2. Catálogo Detallado</w:t>
      </w:r>
    </w:p>
    <w:bookmarkStart w:id="30" w:name="a.-conceptos-de-tipo-haber"/>
    <w:p>
      <w:pPr>
        <w:pStyle w:val="Heading5"/>
      </w:pPr>
      <w:r>
        <w:t xml:space="preserve">A. Conceptos de Tipo HABER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Código 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 de Negocio (RDN) Asociada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Normativa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HAB-BASE-001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Monto Base de Pensión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CALC-OTG-001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CALC-OTG-002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N°16.744, Art. 39, 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HAB-ASIGFAM-001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Asignación Familiar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CALC-PLI-003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D.F.L. N°150, de 1981, Art.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HAB-BONLEY-19403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Bonificación Ley N°19.403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CALC-PIM-001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N°19.403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HAB-BONLEY-19539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Bonificación Ley N°19.539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CALC-PIM-002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N°19.539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HAB-BONLEY-19953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Bonificación Ley N°19.953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CALC-PIM-003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N°19.953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HAB-GRANINV-001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Suplemento por Gran Invalidez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CALC-PIM-004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N°16.744, Art. 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HAB-INCHJ-001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Incremento por Hijo (Asig. Familiar)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CALC-PIM-005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N°16.744, Art. 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HAB-PGU-001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Pensión Garantizada Universal (PGU)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CALC-PLI-004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N°21.419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HAB-BONEX-20531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Bonificación Fiscal Salud Ley N°20.531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CALC-PLI-005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N°20.531</w:t>
            </w:r>
          </w:p>
        </w:tc>
      </w:tr>
    </w:tbl>
    <w:bookmarkEnd w:id="30"/>
    <w:bookmarkStart w:id="31" w:name="b.-conceptos-de-tipo-descuento"/>
    <w:p>
      <w:pPr>
        <w:pStyle w:val="Heading5"/>
      </w:pPr>
      <w:r>
        <w:t xml:space="preserve">B. Conceptos de Tipo DESCUENTO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Código 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 de Negocio (RDN) Asociada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Normativa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DESC-SALUD-001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Cotización Legal de Salud (7%)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Descuento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CALC-PLI-001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D.L. N°3.500, Art. 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DESC-SALUD-002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Cotización Adicional de Salud (ISAPRE)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Descuento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CALC-PLI-001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D.L. N°3.500, Art. 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DESC-PREV-001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Cotización Previsional (AFP/IPS)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Descuento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CALC-PLI-002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N°16.744, Art. 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DESC-CCAF-001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Descuento por Crédito Social CCAF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Descuento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CALC-PLI-008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(Convenio con</w:t>
            </w:r>
            <w:r>
              <w:t xml:space="preserve"> </w:t>
            </w:r>
            <w:r>
              <w:rPr>
                <w:rStyle w:val="VerbatimChar"/>
              </w:rPr>
              <w:t xml:space="preserve">AcuerdoDePago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DESC-RETJUD-001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Retención Judicial (Pensión de Alimentos)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Descuento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CALC-PLI-007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(Orden judicial)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DESC-DEUDA-001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Descuento por Deuda de Indemnización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Descuento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(Interactúa con la entidad</w:t>
            </w:r>
            <w:r>
              <w:t xml:space="preserve"> </w:t>
            </w:r>
            <w:r>
              <w:rPr>
                <w:rStyle w:val="VerbatimChar"/>
              </w:rPr>
              <w:t xml:space="preserve">Deuda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N°16.744, Art. 35 (modificado por reclamo)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DESC-DEUDA-002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Descuento por Préstamo Interno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Descuento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(Interactúa con la entidad</w:t>
            </w:r>
            <w:r>
              <w:t xml:space="preserve"> </w:t>
            </w:r>
            <w:r>
              <w:rPr>
                <w:rStyle w:val="VerbatimChar"/>
              </w:rPr>
              <w:t xml:space="preserve">Deuda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(Política interna)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DESC-SIND-001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Cuota Sindical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Descuento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(Convenio con sindicato)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(Autorización del beneficiario)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DESC-BIENS-001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Descuento por Bienestar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Descuento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(Convenio con Bienestar)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(Autorización del beneficiario)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DESC-IMPTO-001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Impuesto Único de Segunda Categoría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Descuento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CALC-IMP-001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sobre Impuesto a la Renta, Art. 42</w:t>
            </w:r>
          </w:p>
        </w:tc>
      </w:tr>
    </w:tbl>
    <w:bookmarkEnd w:id="31"/>
    <w:bookmarkEnd w:id="32"/>
    <w:bookmarkEnd w:id="33"/>
    <w:bookmarkStart w:id="34" w:name="catálogo-de-bancos"/>
    <w:p>
      <w:pPr>
        <w:pStyle w:val="Heading3"/>
      </w:pPr>
      <w:r>
        <w:t xml:space="preserve">3.2. Catálogo de Bancos</w:t>
      </w:r>
    </w:p>
    <w:p>
      <w:pPr>
        <w:pStyle w:val="FirstParagraph"/>
      </w:pPr>
      <w:r>
        <w:rPr>
          <w:i/>
          <w:iCs/>
        </w:rPr>
        <w:t xml:space="preserve">Contiene los códigos y nombres de todas las entidades bancarias nacionales. (Fuente: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CPS-PME-AGR-001</w:t>
      </w:r>
      <w:r>
        <w:rPr>
          <w:i/>
          <w:iCs/>
        </w:rPr>
        <w:t xml:space="preserve">, Apéndice 9.1)</w:t>
      </w:r>
    </w:p>
    <w:bookmarkEnd w:id="34"/>
    <w:bookmarkStart w:id="35" w:name="catálogo-de-tipos-de-cuenta-bancaria"/>
    <w:p>
      <w:pPr>
        <w:pStyle w:val="Heading3"/>
      </w:pPr>
      <w:r>
        <w:t xml:space="preserve">3.3. Catálogo de Tipos de Cuenta Bancaria</w:t>
      </w:r>
    </w:p>
    <w:p>
      <w:pPr>
        <w:pStyle w:val="FirstParagraph"/>
      </w:pPr>
      <w:r>
        <w:rPr>
          <w:i/>
          <w:iCs/>
        </w:rPr>
        <w:t xml:space="preserve">Contiene los tipos de cuenta válidos para realizar pagos. (Fuente: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CPS-PME-AGR-001</w:t>
      </w:r>
      <w:r>
        <w:rPr>
          <w:i/>
          <w:iCs/>
        </w:rPr>
        <w:t xml:space="preserve">, Apéndice 9.2)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 Corriente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 Vista / RUT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 de Ahorro</w:t>
            </w:r>
          </w:p>
        </w:tc>
      </w:tr>
    </w:tbl>
    <w:bookmarkEnd w:id="35"/>
    <w:bookmarkStart w:id="36" w:name="catálogo-de-países-iso-3166-1"/>
    <w:p>
      <w:pPr>
        <w:pStyle w:val="Heading3"/>
      </w:pPr>
      <w:r>
        <w:t xml:space="preserve">3.4. Catálogo de Países (ISO 3166-1)</w:t>
      </w:r>
    </w:p>
    <w:p>
      <w:pPr>
        <w:pStyle w:val="FirstParagraph"/>
      </w:pPr>
      <w:r>
        <w:rPr>
          <w:i/>
          <w:iCs/>
        </w:rPr>
        <w:t xml:space="preserve">Contiene los códigos de país para la gestión de pagos en el extranjero.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configuración-normativa-y-versionamiento"/>
    <w:p>
      <w:pPr>
        <w:pStyle w:val="Heading2"/>
      </w:pPr>
      <w:r>
        <w:t xml:space="preserve">4. Configuración Normativa y Versionamiento</w:t>
      </w:r>
    </w:p>
    <w:bookmarkStart w:id="38" w:name="marconormativo"/>
    <w:p>
      <w:pPr>
        <w:pStyle w:val="Heading3"/>
      </w:pPr>
      <w:r>
        <w:t xml:space="preserve">4.1. MarcoNormativo</w:t>
      </w:r>
    </w:p>
    <w:p>
      <w:pPr>
        <w:pStyle w:val="FirstParagraph"/>
      </w:pPr>
      <w:r>
        <w:rPr>
          <w:rStyle w:val="VerbatimChar"/>
          <w:i/>
          <w:iCs/>
        </w:rPr>
        <w:t xml:space="preserve">MarcoNormativo</w:t>
      </w:r>
      <w:r>
        <w:rPr>
          <w:i/>
          <w:iCs/>
        </w:rPr>
        <w:t xml:space="preserve"> </w:t>
      </w:r>
      <w:r>
        <w:rPr>
          <w:i/>
          <w:iCs/>
        </w:rPr>
        <w:t xml:space="preserve">es la unidad coherente y versionada que referencia una versión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ParametrosNormativos</w:t>
      </w:r>
      <w:r>
        <w:rPr>
          <w:i/>
          <w:iCs/>
        </w:rPr>
        <w:t xml:space="preserve"> </w:t>
      </w:r>
      <w:r>
        <w:rPr>
          <w:i/>
          <w:iCs/>
        </w:rPr>
        <w:t xml:space="preserve">(SemVer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params-vX.Y.Z</w:t>
      </w:r>
      <w:r>
        <w:rPr>
          <w:i/>
          <w:iCs/>
        </w:rPr>
        <w:t xml:space="preserve">) y una versión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DirectivaDeEjecucion</w:t>
      </w:r>
      <w:r>
        <w:rPr>
          <w:i/>
          <w:iCs/>
        </w:rPr>
        <w:t xml:space="preserve"> </w:t>
      </w:r>
      <w:r>
        <w:rPr>
          <w:i/>
          <w:iCs/>
        </w:rPr>
        <w:t xml:space="preserve">(SemVer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logic-vX.Y.Z</w:t>
      </w:r>
      <w:r>
        <w:rPr>
          <w:i/>
          <w:iCs/>
        </w:rPr>
        <w:t xml:space="preserve">), con un período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Vigencia</w:t>
      </w:r>
      <w:r>
        <w:rPr>
          <w:i/>
          <w:iCs/>
        </w:rPr>
        <w:t xml:space="preserve"> </w:t>
      </w:r>
      <w:r>
        <w:rPr>
          <w:i/>
          <w:iCs/>
        </w:rPr>
        <w:t xml:space="preserve">(inicio/fin). Cada cálculo en el sistema se ejecuta en el contexto de 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MarcoNormativo</w:t>
      </w:r>
      <w:r>
        <w:rPr>
          <w:i/>
          <w:iCs/>
        </w:rPr>
        <w:t xml:space="preserve">, garantizando auditabilidad y reproducibilidad.</w:t>
      </w:r>
    </w:p>
    <w:bookmarkEnd w:id="38"/>
    <w:bookmarkStart w:id="39" w:name="definiciones"/>
    <w:p>
      <w:pPr>
        <w:pStyle w:val="Heading3"/>
      </w:pPr>
      <w:r>
        <w:t xml:space="preserve">4.2. Definiciones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ParametrosNormativos</w:t>
      </w:r>
      <w:r>
        <w:t xml:space="preserve">: Artefacto inmutable (SemVer) que contiene valores, topes, porcentajes, plazos y tablas normativas.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DirectivaDeEjecucion</w:t>
      </w:r>
      <w:r>
        <w:t xml:space="preserve">: Artefacto inmutable (SemVer) que mapea identificadores de</w:t>
      </w:r>
      <w:r>
        <w:t xml:space="preserve"> </w:t>
      </w:r>
      <w:r>
        <w:rPr>
          <w:rStyle w:val="VerbatimChar"/>
        </w:rPr>
        <w:t xml:space="preserve">PDN</w:t>
      </w:r>
      <w:r>
        <w:t xml:space="preserve">/</w:t>
      </w:r>
      <w:r>
        <w:rPr>
          <w:rStyle w:val="VerbatimChar"/>
        </w:rPr>
        <w:t xml:space="preserve">RDN</w:t>
      </w:r>
      <w:r>
        <w:t xml:space="preserve"> </w:t>
      </w:r>
      <w:r>
        <w:t xml:space="preserve">a su versión (</w:t>
      </w:r>
      <w:r>
        <w:rPr>
          <w:rStyle w:val="VerbatimChar"/>
        </w:rPr>
        <w:t xml:space="preserve">vN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Vigencia</w:t>
      </w:r>
      <w:r>
        <w:t xml:space="preserve">: Intervalo con</w:t>
      </w:r>
      <w:r>
        <w:t xml:space="preserve"> </w:t>
      </w:r>
      <w:r>
        <w:rPr>
          <w:rStyle w:val="VerbatimChar"/>
        </w:rPr>
        <w:t xml:space="preserve">inicio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fin</w:t>
      </w:r>
      <w:r>
        <w:t xml:space="preserve"> </w:t>
      </w:r>
      <w:r>
        <w:t xml:space="preserve">(este último puede ser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 No deben existir solapes para un mismo ámbito.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FrameworkResolverService</w:t>
      </w:r>
      <w:r>
        <w:t xml:space="preserve">: Servicio que resuelve el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 </w:t>
      </w:r>
      <w:r>
        <w:t xml:space="preserve">aplicable según contexto (p. ej., fecha) y ensambla los artefactos.</w:t>
      </w:r>
    </w:p>
    <w:bookmarkEnd w:id="39"/>
    <w:bookmarkStart w:id="40" w:name="nomenclaturas-e-identificadores"/>
    <w:p>
      <w:pPr>
        <w:pStyle w:val="Heading3"/>
      </w:pPr>
      <w:r>
        <w:t xml:space="preserve">4.3. Nomenclaturas e Identificadores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PDN</w:t>
      </w:r>
      <w:r>
        <w:t xml:space="preserve">:</w:t>
      </w:r>
      <w:r>
        <w:t xml:space="preserve"> </w:t>
      </w:r>
      <w:r>
        <w:rPr>
          <w:rStyle w:val="VerbatimChar"/>
        </w:rPr>
        <w:t xml:space="preserve">PDN-&lt;DOMINIO&gt;-&lt;CÓDIGO&gt;</w:t>
      </w:r>
      <w:r>
        <w:t xml:space="preserve">; versión</w:t>
      </w:r>
      <w:r>
        <w:t xml:space="preserve"> </w:t>
      </w:r>
      <w:r>
        <w:rPr>
          <w:rStyle w:val="VerbatimChar"/>
        </w:rPr>
        <w:t xml:space="preserve">vN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RDN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&lt;CATEGORÍA&gt;-&lt;CÓDIGO&gt;</w:t>
      </w:r>
      <w:r>
        <w:t xml:space="preserve">; versión</w:t>
      </w:r>
      <w:r>
        <w:t xml:space="preserve"> </w:t>
      </w:r>
      <w:r>
        <w:rPr>
          <w:rStyle w:val="VerbatimChar"/>
        </w:rPr>
        <w:t xml:space="preserve">vN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Parámetros</w:t>
      </w:r>
      <w:r>
        <w:t xml:space="preserve">:</w:t>
      </w:r>
      <w:r>
        <w:t xml:space="preserve"> </w:t>
      </w:r>
      <w:r>
        <w:rPr>
          <w:rStyle w:val="VerbatimChar"/>
        </w:rPr>
        <w:t xml:space="preserve">params-vX.Y.Z</w:t>
      </w:r>
      <w:r>
        <w:t xml:space="preserve"> </w:t>
      </w:r>
      <w:r>
        <w:t xml:space="preserve">(SemVer).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Directiva</w:t>
      </w:r>
      <w:r>
        <w:t xml:space="preserve">:</w:t>
      </w:r>
      <w:r>
        <w:t xml:space="preserve"> </w:t>
      </w:r>
      <w:r>
        <w:rPr>
          <w:rStyle w:val="VerbatimChar"/>
        </w:rPr>
        <w:t xml:space="preserve">logic-vX.Y.Z</w:t>
      </w:r>
      <w:r>
        <w:t xml:space="preserve"> </w:t>
      </w:r>
      <w:r>
        <w:t xml:space="preserve">(SemVer).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Marco</w:t>
      </w:r>
      <w:r>
        <w:t xml:space="preserve">:</w:t>
      </w:r>
      <w:r>
        <w:t xml:space="preserve"> </w:t>
      </w:r>
      <w:r>
        <w:rPr>
          <w:rStyle w:val="VerbatimChar"/>
        </w:rPr>
        <w:t xml:space="preserve">MN-YYYY-&lt;CLAVE&gt;</w:t>
      </w:r>
      <w:r>
        <w:t xml:space="preserve">.</w:t>
      </w:r>
    </w:p>
    <w:p>
      <w:pPr>
        <w:pStyle w:val="FirstParagraph"/>
      </w:pPr>
      <w:r>
        <w:t xml:space="preserve">Para matrices y ejemplos, ver el capítulo</w:t>
      </w:r>
      <w:r>
        <w:t xml:space="preserve"> </w:t>
      </w:r>
      <w:r>
        <w:rPr>
          <w:rStyle w:val="VerbatimChar"/>
        </w:rPr>
        <w:t xml:space="preserve">12_Versionamiento_Normativo_y_Resolucion.md</w:t>
      </w:r>
      <w:r>
        <w:t xml:space="preserve">.</w:t>
      </w:r>
    </w:p>
    <w:bookmarkEnd w:id="40"/>
    <w:bookmarkEnd w:id="41"/>
    <w:bookmarkEnd w:id="42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2025-08-12T11:46:51Z</dcterms:created>
  <dcterms:modified xsi:type="dcterms:W3CDTF">2025-08-12T11:46:51Z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