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nexo-d-reglas-de-negocio-rdn"/>
    <w:p>
      <w:pPr>
        <w:pStyle w:val="Heading1"/>
      </w:pPr>
      <w:r>
        <w:t xml:space="preserve">Anexo D: Reglas de Negocio (RDN)</w:t>
      </w:r>
    </w:p>
    <w:p>
      <w:pPr>
        <w:pStyle w:val="FirstParagraph"/>
      </w:pPr>
      <w:r>
        <w:rPr>
          <w:i/>
          <w:iCs/>
        </w:rPr>
        <w:t xml:space="preserve">Propósito: Detallar la lógica atómica y los criterios fundamentales que gobiernan el comportamiento del sistema. Cada regla representa una pieza de conocimiento de negocio que debe ser aplicada en un contexto específico.</w:t>
      </w:r>
    </w:p>
    <w:p>
      <w:r>
        <w:pict>
          <v:rect style="width:0;height:1.5pt" o:hralign="center" o:hrstd="t" o:hr="t"/>
        </w:pict>
      </w:r>
    </w:p>
    <w:bookmarkStart w:id="20" w:name="reglas-de-validación-valid"/>
    <w:p>
      <w:pPr>
        <w:pStyle w:val="Heading2"/>
      </w:pPr>
      <w:r>
        <w:t xml:space="preserve">1. Reglas de Validación (</w:t>
      </w:r>
      <w:r>
        <w:rPr>
          <w:rStyle w:val="VerbatimChar"/>
        </w:rPr>
        <w:t xml:space="preserve">VALID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Reglas que verifican condiciones y aseguran la integridad de los datos antes de ejecutar un proceso.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VALID-OTG-001</w:t>
      </w:r>
      <w:r>
        <w:t xml:space="preserve">: Verifica que un trabajador independiente tenga sus cotizaciones al día para poder recibir una prestación.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VALID-OTG-002</w:t>
      </w:r>
      <w:r>
        <w:t xml:space="preserve">: Impide la constitución de una pensión transitoria por límite de subsidio para funcionarios públicos.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VALID-SOBREV-001</w:t>
      </w:r>
      <w:r>
        <w:t xml:space="preserve">: Validar elegibilidad de madre de hijos del causante.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VALID-ACUERDO-001</w:t>
      </w:r>
      <w:r>
        <w:t xml:space="preserve">: Asegura que la vigencia de un poder notarial para cobro no exceda los 2 años.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VALID-ACUERDO-002</w:t>
      </w:r>
      <w:r>
        <w:t xml:space="preserve">: Valida que el cobrador de un pago directo de Asignación Familiar sea un causante vigente.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VALID-ACUERDO-003</w:t>
      </w:r>
      <w:r>
        <w:t xml:space="preserve">: Impone el límite máximo de retención judicial sobre una pensión (ej. 50%).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VALID-MANT-001</w:t>
      </w:r>
      <w:r>
        <w:t xml:space="preserve">: Verifica que un certificado de estudios para una pensión de orfandad se presente dentro del plazo legal.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VALID-MANT-002</w:t>
      </w:r>
      <w:r>
        <w:t xml:space="preserve">: Impide que se aplique una reevaluación sobre una Gran Invalidez ya constituida.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VALID-PAGO-001</w:t>
      </w:r>
      <w:r>
        <w:t xml:space="preserve">: Determina si la mutualidad es responsable del pago del aguinaldo, comparando montos con otras pensiones.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VALID-PAGO-002</w:t>
      </w:r>
      <w:r>
        <w:t xml:space="preserve">: Determina si un pensionado califica para el Bono de Invierno según su edad y monto de pensión.</w:t>
      </w:r>
    </w:p>
    <w:p>
      <w:r>
        <w:pict>
          <v:rect style="width:0;height:1.5pt" o:hralign="center" o:hrstd="t" o:hr="t"/>
        </w:pict>
      </w:r>
    </w:p>
    <w:bookmarkEnd w:id="20"/>
    <w:bookmarkStart w:id="26" w:name="reglas-de-cálculo-calc"/>
    <w:p>
      <w:pPr>
        <w:pStyle w:val="Heading2"/>
      </w:pPr>
      <w:r>
        <w:t xml:space="preserve">2. Reglas de Cálculo (</w:t>
      </w:r>
      <w:r>
        <w:rPr>
          <w:rStyle w:val="VerbatimChar"/>
        </w:rPr>
        <w:t xml:space="preserve">CALC</w:t>
      </w:r>
      <w:r>
        <w:t xml:space="preserve">)</w:t>
      </w:r>
    </w:p>
    <w:bookmarkStart w:id="21" w:name="Xde5c4981936fb63a3ab494f9f5394c1579c728c"/>
    <w:p>
      <w:pPr>
        <w:pStyle w:val="Heading3"/>
      </w:pPr>
      <w:r>
        <w:t xml:space="preserve">2.1. Cálculo de Sueldo Base y Beneficios de Origen (</w:t>
      </w:r>
      <w:r>
        <w:rPr>
          <w:rStyle w:val="VerbatimChar"/>
        </w:rPr>
        <w:t xml:space="preserve">CALC-OTG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CALC-OTG-001</w:t>
      </w:r>
      <w:r>
        <w:t xml:space="preserve">: Orquesta el cálculo del Sueldo Base Mensual para trabajadores dependientes.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CALC-OTG-002</w:t>
      </w:r>
      <w:r>
        <w:t xml:space="preserve">: Calcula el monto base para una o más pensiones de sobrevivencia a partir de la pensión del causante.</w:t>
      </w:r>
    </w:p>
    <w:bookmarkEnd w:id="21"/>
    <w:bookmarkStart w:id="22" w:name="cálculo-de-pensión-imponible-calc-pim"/>
    <w:p>
      <w:pPr>
        <w:pStyle w:val="Heading3"/>
      </w:pPr>
      <w:r>
        <w:t xml:space="preserve">2.2. Cálculo de Pensión Imponible (</w:t>
      </w:r>
      <w:r>
        <w:rPr>
          <w:rStyle w:val="VerbatimChar"/>
        </w:rPr>
        <w:t xml:space="preserve">CALC-PIM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Reglas que construyen el monto imponible de una liquidación.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CALC-PIM-001</w:t>
      </w:r>
      <w:r>
        <w:t xml:space="preserve">: Calcula el monto de la Bonificación de Viudez según la Ley N°19.403.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CALC-PIM-002</w:t>
      </w:r>
      <w:r>
        <w:t xml:space="preserve">: Calcula el monto de la Bonificación según la Ley N°19.539.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CALC-PIM-003</w:t>
      </w:r>
      <w:r>
        <w:t xml:space="preserve">: Calcula el monto de la Bonificación según la Ley N°19.953.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CALC-PIM-004</w:t>
      </w:r>
      <w:r>
        <w:t xml:space="preserve">: Calcular Suplemento por Gran Invalidez.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CALC-PIM-005</w:t>
      </w:r>
      <w:r>
        <w:t xml:space="preserve">: Calcular Incremento por Hijo para Asignación Familiar.</w:t>
      </w:r>
    </w:p>
    <w:bookmarkEnd w:id="22"/>
    <w:bookmarkStart w:id="23" w:name="cálculo-de-pensión-líquida-calc-pli"/>
    <w:p>
      <w:pPr>
        <w:pStyle w:val="Heading3"/>
      </w:pPr>
      <w:r>
        <w:t xml:space="preserve">2.3. Cálculo de Pensión Líquida (</w:t>
      </w:r>
      <w:r>
        <w:rPr>
          <w:rStyle w:val="VerbatimChar"/>
        </w:rPr>
        <w:t xml:space="preserve">CALC-PLI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Reglas que operan sobre el monto imponible para llegar al líquido a pagar.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CALC-PLI-001</w:t>
      </w:r>
      <w:r>
        <w:t xml:space="preserve">: Calcula el descuento legal de salud (7% o el plan de Isapre).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CALC-PLI-002</w:t>
      </w:r>
      <w:r>
        <w:t xml:space="preserve">: Calcula el descuento legal de previsión según la tasa de la AFP correspondiente.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CALC-PLI-003</w:t>
      </w:r>
      <w:r>
        <w:t xml:space="preserve">: Calcula el monto a pagar por Asignación Familiar según los causantes vigentes.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CALC-PLI-004</w:t>
      </w:r>
      <w:r>
        <w:t xml:space="preserve">: Asigna el monto de la Pensión Garantizada Universal (PGU) como un haber.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CALC-PLI-005</w:t>
      </w:r>
      <w:r>
        <w:t xml:space="preserve">: Aplica el beneficio de Exención de Salud, generando un haber que anula el descuento.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CALC-PLI-006</w:t>
      </w:r>
      <w:r>
        <w:t xml:space="preserve">: Aplica el beneficio de Rebaja de Salud, generando un haber que disminuye el descuento.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CALC-PLI-007</w:t>
      </w:r>
      <w:r>
        <w:t xml:space="preserve">: Aplica una Retención Judicial según la configuración del acuerdo de pago.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CALC-PLI-008</w:t>
      </w:r>
      <w:r>
        <w:t xml:space="preserve">: Aplica los descuentos por convenios con Cajas de Compensación (CCAF).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CALC-PLI-009</w:t>
      </w:r>
      <w:r>
        <w:t xml:space="preserve">: Calcula los días exactos a pagar para una prestación que se inactiva en el mes en curso.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CALC-PLI-010</w:t>
      </w:r>
      <w:r>
        <w:t xml:space="preserve">: Calcula los días pagados en exceso cuando una inactivación se informa de forma retroactiva.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CALC-PLI-011</w:t>
      </w:r>
      <w:r>
        <w:t xml:space="preserve">: Aplicar Ajustes Manuales Pendientes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CALC-PLI-012</w:t>
      </w:r>
      <w:r>
        <w:t xml:space="preserve">: Redondeo de Monto Final.</w:t>
      </w:r>
    </w:p>
    <w:bookmarkEnd w:id="23"/>
    <w:bookmarkStart w:id="24" w:name="cálculo-de-mantenimiento-calc-mant"/>
    <w:p>
      <w:pPr>
        <w:pStyle w:val="Heading3"/>
      </w:pPr>
      <w:r>
        <w:t xml:space="preserve">2.4. Cálculo de Mantenimiento (</w:t>
      </w:r>
      <w:r>
        <w:rPr>
          <w:rStyle w:val="VerbatimChar"/>
        </w:rPr>
        <w:t xml:space="preserve">CALC-MANT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CALC-MANT-001</w:t>
      </w:r>
      <w:r>
        <w:t xml:space="preserve">: Aplica el reajuste por variación del IPC a todas las pensiones activas.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CALC-MANT-002</w:t>
      </w:r>
      <w:r>
        <w:t xml:space="preserve">: Asegura que una reevaluación de pensión nunca resulte en un monto inferior al que ya se recibía.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CALC-MANT-003</w:t>
      </w:r>
      <w:r>
        <w:t xml:space="preserve">: Recalcula los porcentajes de una pensión de sobrevivencia cuando uno de los beneficiarios cesa.</w:t>
      </w:r>
    </w:p>
    <w:bookmarkEnd w:id="24"/>
    <w:bookmarkStart w:id="25" w:name="X5c09e257d8dc3798f0020b0744c53e32c383d5c"/>
    <w:p>
      <w:pPr>
        <w:pStyle w:val="Heading3"/>
      </w:pPr>
      <w:r>
        <w:t xml:space="preserve">2.5. Cálculo de Reportería y Finanzas (</w:t>
      </w:r>
      <w:r>
        <w:rPr>
          <w:rStyle w:val="VerbatimChar"/>
        </w:rPr>
        <w:t xml:space="preserve">CALC-REP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CALC-FIN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CALC-FIN-001</w:t>
      </w:r>
      <w:r>
        <w:t xml:space="preserve">: Calcula la prorrata de concurrencia para distribuir la responsabilidad de pago entre organismos.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CALC-REP-001</w:t>
      </w:r>
      <w:r>
        <w:t xml:space="preserve">: Calcula el campo</w:t>
      </w:r>
      <w:r>
        <w:t xml:space="preserve"> </w:t>
      </w:r>
      <w:r>
        <w:t xml:space="preserve">“PENSION CAPITAL”</w:t>
      </w:r>
      <w:r>
        <w:t xml:space="preserve"> </w:t>
      </w:r>
      <w:r>
        <w:t xml:space="preserve">para el informe regulatorio GRIS R01.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glas-de-mapeo-map"/>
    <w:p>
      <w:pPr>
        <w:pStyle w:val="Heading2"/>
      </w:pPr>
      <w:r>
        <w:t xml:space="preserve">3. Reglas de Mapeo (</w:t>
      </w:r>
      <w:r>
        <w:rPr>
          <w:rStyle w:val="VerbatimChar"/>
        </w:rPr>
        <w:t xml:space="preserve">MAP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Reglas que transforman datos del dominio interno a los códigos requeridos por sistemas externos.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MAP-REP-001</w:t>
      </w:r>
      <w:r>
        <w:t xml:space="preserve">: Homologa el estado civil del sistema a los códigos definidos por SUSESO para el informe GRIS.</w:t>
      </w:r>
    </w:p>
    <w:p>
      <w:r>
        <w:pict>
          <v:rect style="width:0;height:1.5pt" o:hralign="center" o:hrstd="t" o:hr="t"/>
        </w:pict>
      </w:r>
    </w:p>
    <w:bookmarkEnd w:id="27"/>
    <w:bookmarkStart w:id="28" w:name="reglas-de-ciclo-de-vida-ciclo"/>
    <w:p>
      <w:pPr>
        <w:pStyle w:val="Heading2"/>
      </w:pPr>
      <w:r>
        <w:t xml:space="preserve">4. Reglas de Ciclo de Vida (</w:t>
      </w:r>
      <w:r>
        <w:rPr>
          <w:rStyle w:val="VerbatimChar"/>
        </w:rPr>
        <w:t xml:space="preserve">CICLO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Reglas que definen transiciones de estado automáticas basadas en eventos del ciclo de vida.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CICLO-INAC-001</w:t>
      </w:r>
      <w:r>
        <w:t xml:space="preserve">: Define la inactivación automática de una carga familiar al cumplir la mayoría de edad.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CICLO-INAC-002</w:t>
      </w:r>
      <w:r>
        <w:t xml:space="preserve">: Define la inactivación automática de una carga familiar por fallecimiento.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CICLO-CESE-001</w:t>
      </w:r>
      <w:r>
        <w:t xml:space="preserve">: Define el cese de una pensión de viudez cuando el beneficiario contrae un nuevo vínculo.</w:t>
      </w:r>
    </w:p>
    <w:p>
      <w:r>
        <w:pict>
          <v:rect style="width:0;height:1.5pt" o:hralign="center" o:hrstd="t" o:hr="t"/>
        </w:pict>
      </w:r>
    </w:p>
    <w:bookmarkEnd w:id="28"/>
    <w:bookmarkStart w:id="29" w:name="reglas-de-cumplimiento-cump"/>
    <w:p>
      <w:pPr>
        <w:pStyle w:val="Heading2"/>
      </w:pPr>
      <w:r>
        <w:t xml:space="preserve">5. Reglas de Cumplimiento (</w:t>
      </w:r>
      <w:r>
        <w:rPr>
          <w:rStyle w:val="VerbatimChar"/>
        </w:rPr>
        <w:t xml:space="preserve">CUMP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Reglas que definen plazos y condiciones de prescripción según la normativa.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CUMP-OTG-001</w:t>
      </w:r>
      <w:r>
        <w:t xml:space="preserve">: Plazo máximo para el pago de una Indemnización (90 días).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CUMP-OTG-002</w:t>
      </w:r>
      <w:r>
        <w:t xml:space="preserve">: Plazo máximo para el pago de una Pensión de Invalidez (30 días).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CUMP-OTG-003</w:t>
      </w:r>
      <w:r>
        <w:t xml:space="preserve">: Plazo máximo para el pago de una Pensión de Sobrevivencia (30 días).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CUMP-OTG-004</w:t>
      </w:r>
      <w:r>
        <w:t xml:space="preserve">: Plazo máximo para que un empleador entregue antecedentes (3 días hábiles).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CUMP-MANT-001</w:t>
      </w:r>
      <w:r>
        <w:t xml:space="preserve">: Plazo de prescripción del derecho a cobro de un Subsidio (6 meses).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CUMP-ASIGFAM-001</w:t>
      </w:r>
      <w:r>
        <w:t xml:space="preserve">: Plazo de prescripción del derecho a cobro de Asignación Familiar retroactiva (5 años).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CUMP-PAG-001</w:t>
      </w:r>
      <w:r>
        <w:t xml:space="preserve">: Prescripción de solicitud de reembolso de empleador público. Verifica que la solicitud de reembolso por parte de una entidad empleadora del sector público se realice dentro del plazo máximo de 6 meses desde el pago de la remuneración correspondiente.</w:t>
      </w:r>
    </w:p>
    <w:p>
      <w:r>
        <w:pict>
          <v:rect style="width:0;height:1.5pt" o:hralign="center" o:hrstd="t" o:hr="t"/>
        </w:pict>
      </w:r>
    </w:p>
    <w:bookmarkEnd w:id="29"/>
    <w:bookmarkStart w:id="30" w:name="reglas-de-comunicación-comm"/>
    <w:p>
      <w:pPr>
        <w:pStyle w:val="Heading2"/>
      </w:pPr>
      <w:r>
        <w:t xml:space="preserve">6. Reglas de Comunicación (</w:t>
      </w:r>
      <w:r>
        <w:rPr>
          <w:rStyle w:val="VerbatimChar"/>
        </w:rPr>
        <w:t xml:space="preserve">COMM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Reglas que gatillan comunicaciones a los beneficiarios.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COMM-MANT-001</w:t>
      </w:r>
      <w:r>
        <w:t xml:space="preserve">: Define el envío de la notificación de proximidad de cese por edad (6 meses antes).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COMM-OTG-005</w:t>
      </w:r>
      <w:r>
        <w:t xml:space="preserve">: Registrar Gestión por Documentación Faltante. Si vence el plazo de entrega de antecedentes definido en</w:t>
      </w:r>
      <w:r>
        <w:t xml:space="preserve"> </w:t>
      </w:r>
      <w:r>
        <w:rPr>
          <w:rStyle w:val="VerbatimChar"/>
          <w:b/>
          <w:bCs/>
        </w:rPr>
        <w:t xml:space="preserve">CUMP-OTG-004</w:t>
      </w:r>
      <w:r>
        <w:t xml:space="preserve"> </w:t>
      </w:r>
      <w:r>
        <w:t xml:space="preserve">sin recepción completa de los documentos requeridos para un</w:t>
      </w:r>
      <w:r>
        <w:t xml:space="preserve"> </w:t>
      </w:r>
      <w:r>
        <w:rPr>
          <w:rStyle w:val="VerbatimChar"/>
        </w:rPr>
        <w:t xml:space="preserve">Tramite</w:t>
      </w:r>
      <w:r>
        <w:t xml:space="preserve"> </w:t>
      </w:r>
      <w:r>
        <w:t xml:space="preserve">de otorgamiento, el sistema debe crear una instancia de</w:t>
      </w:r>
      <w:r>
        <w:t xml:space="preserve"> </w:t>
      </w:r>
      <w:r>
        <w:rPr>
          <w:rStyle w:val="VerbatimChar"/>
        </w:rPr>
        <w:t xml:space="preserve">GestionDeContacto</w:t>
      </w:r>
      <w:r>
        <w:t xml:space="preserve"> </w:t>
      </w:r>
      <w:r>
        <w:t xml:space="preserve">asociada al</w:t>
      </w:r>
      <w:r>
        <w:t xml:space="preserve"> </w:t>
      </w:r>
      <w:r>
        <w:rPr>
          <w:rStyle w:val="VerbatimChar"/>
        </w:rPr>
        <w:t xml:space="preserve">ExpedienteDeTramite</w:t>
      </w:r>
      <w:r>
        <w:t xml:space="preserve">, registrando el medio, resultado y fecha del intento de contacto. Esta regla puede ser gatillada por</w:t>
      </w:r>
      <w:r>
        <w:t xml:space="preserve"> </w:t>
      </w:r>
      <w:r>
        <w:rPr>
          <w:rStyle w:val="VerbatimChar"/>
          <w:b/>
          <w:bCs/>
        </w:rPr>
        <w:t xml:space="preserve">PDN-MON-003</w:t>
      </w:r>
      <w:r>
        <w:t xml:space="preserve"> </w:t>
      </w:r>
      <w:r>
        <w:t xml:space="preserve">o por eventos del proceso de otorgamiento.</w:t>
      </w:r>
    </w:p>
    <w:p>
      <w:r>
        <w:pict>
          <v:rect style="width:0;height:1.5pt" o:hralign="center" o:hrstd="t" o:hr="t"/>
        </w:pict>
      </w:r>
    </w:p>
    <w:bookmarkEnd w:id="30"/>
    <w:bookmarkStart w:id="31" w:name="reglas-de-verificación-humana-verf"/>
    <w:p>
      <w:pPr>
        <w:pStyle w:val="Heading2"/>
      </w:pPr>
      <w:r>
        <w:t xml:space="preserve">7. Reglas de Verificación Humana (</w:t>
      </w:r>
      <w:r>
        <w:rPr>
          <w:rStyle w:val="VerbatimChar"/>
        </w:rPr>
        <w:t xml:space="preserve">VERF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Reglas que requieren la aprobación explícita de un usuario con un rol específico para continuar un proceso.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VERF-GOB-001</w:t>
      </w:r>
      <w:r>
        <w:t xml:space="preserve">: Aprobación de Plan de Acción para Incidente de Dominio. Requiere que un</w:t>
      </w:r>
      <w:r>
        <w:t xml:space="preserve"> </w:t>
      </w:r>
      <w:r>
        <w:rPr>
          <w:rStyle w:val="VerbatimChar"/>
        </w:rPr>
        <w:t xml:space="preserve">Líder de Equipo de Gobernanza</w:t>
      </w:r>
      <w:r>
        <w:t xml:space="preserve"> </w:t>
      </w:r>
      <w:r>
        <w:t xml:space="preserve">valide el diagnóstico y la solución propuesta para una Excepción de Dominio antes de que se aplique.</w:t>
      </w:r>
    </w:p>
    <w:p>
      <w:r>
        <w:pict>
          <v:rect style="width:0;height:1.5pt" o:hralign="center" o:hrstd="t" o:hr="t"/>
        </w:pict>
      </w:r>
    </w:p>
    <w:bookmarkEnd w:id="31"/>
    <w:bookmarkStart w:id="32" w:name="X29ace719900078de5a8b7c056a0df44d3eea2c1"/>
    <w:p>
      <w:pPr>
        <w:pStyle w:val="Heading2"/>
      </w:pPr>
      <w:r>
        <w:t xml:space="preserve">8. Plantilla de Documentación por RDN (con Versionado)</w:t>
      </w:r>
    </w:p>
    <w:p>
      <w:pPr>
        <w:pStyle w:val="FirstParagraph"/>
      </w:pPr>
      <w:r>
        <w:t xml:space="preserve">Use esta plantilla para cada RDN: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&lt;CATEG&gt;-&lt;CÓDIGO&gt;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Propósito</w:t>
      </w:r>
      <w:r>
        <w:t xml:space="preserve">: objetivo de la regla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Entradas/Salidas</w:t>
      </w:r>
      <w:r>
        <w:t xml:space="preserve">: datos relevantes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Dependencias de parámetros</w:t>
      </w:r>
      <w:r>
        <w:t xml:space="preserve">: claves de</w:t>
      </w:r>
      <w:r>
        <w:t xml:space="preserve"> </w:t>
      </w:r>
      <w:r>
        <w:rPr>
          <w:rStyle w:val="VerbatimChar"/>
        </w:rPr>
        <w:t xml:space="preserve">ParametrosNormativos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Versión actual</w:t>
      </w:r>
      <w:r>
        <w:t xml:space="preserve">:</w:t>
      </w:r>
      <w:r>
        <w:t xml:space="preserve"> </w:t>
      </w:r>
      <w:r>
        <w:rPr>
          <w:rStyle w:val="VerbatimChar"/>
        </w:rPr>
        <w:t xml:space="preserve">vN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Historial de versiones y vigencias</w:t>
      </w:r>
      <w:r>
        <w:t xml:space="preserve">: resumen por</w:t>
      </w:r>
      <w:r>
        <w:t xml:space="preserve"> </w:t>
      </w:r>
      <w:r>
        <w:rPr>
          <w:rStyle w:val="VerbatimChar"/>
        </w:rPr>
        <w:t xml:space="preserve">MarcoNormativo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Cobertura de pruebas</w:t>
      </w:r>
      <w:r>
        <w:t xml:space="preserve">: enlaces a casos y escenarios</w:t>
      </w:r>
    </w:p>
    <w:p>
      <w:r>
        <w:pict>
          <v:rect style="width:0;height:1.5pt" o:hralign="center" o:hrstd="t" o:hr="t"/>
        </w:pict>
      </w:r>
    </w:p>
    <w:bookmarkEnd w:id="32"/>
    <w:bookmarkStart w:id="33" w:name="política-de-versionado-de-rdn"/>
    <w:p>
      <w:pPr>
        <w:pStyle w:val="Heading2"/>
      </w:pPr>
      <w:r>
        <w:t xml:space="preserve">9. Política de Versionado de RDN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Major (vN+1)</w:t>
      </w:r>
      <w:r>
        <w:t xml:space="preserve">: Cambio de algoritmo con impacto en contratos o resultados observables.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Minor</w:t>
      </w:r>
      <w:r>
        <w:t xml:space="preserve">: Añade capacidades compatibles (p. ej., nuevo caso soportado).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Patch</w:t>
      </w:r>
      <w:r>
        <w:t xml:space="preserve">: Corrección sin alterar el contrato.</w:t>
      </w:r>
    </w:p>
    <w:p>
      <w:pPr>
        <w:pStyle w:val="FirstParagraph"/>
      </w:pPr>
      <w:r>
        <w:t xml:space="preserve">La versión algorítmica de una RDN se gobierna mediante la</w:t>
      </w:r>
      <w:r>
        <w:t xml:space="preserve"> </w:t>
      </w:r>
      <w:r>
        <w:rPr>
          <w:rStyle w:val="VerbatimChar"/>
        </w:rPr>
        <w:t xml:space="preserve">DirectivaDeEjecucion</w:t>
      </w:r>
      <w:r>
        <w:t xml:space="preserve"> </w:t>
      </w:r>
      <w:r>
        <w:t xml:space="preserve">activa y su trazabilidad en las matrices (ver cap. 12).</w:t>
      </w:r>
    </w:p>
    <w:bookmarkEnd w:id="33"/>
    <w:bookmarkEnd w:id="34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2025-08-12T11:46:53Z</dcterms:created>
  <dcterms:modified xsi:type="dcterms:W3CDTF">2025-08-12T11:46:53Z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