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nexo-f-eventos-y-excepciones"/>
    <w:p>
      <w:pPr>
        <w:pStyle w:val="Heading1"/>
      </w:pPr>
      <w:r>
        <w:t xml:space="preserve">Anexo F: Eventos y Excepciones</w:t>
      </w:r>
    </w:p>
    <w:p>
      <w:pPr>
        <w:pStyle w:val="FirstParagraph"/>
      </w:pPr>
      <w:r>
        <w:rPr>
          <w:i/>
          <w:iCs/>
        </w:rPr>
        <w:t xml:space="preserve">Propósito: Centralizar la definición de todos los sucesos (Eventos) que pueden gatillar un proceso de negocio, así como las desviaciones y errores contemplados en el dominio (Excepciones).</w:t>
      </w:r>
    </w:p>
    <w:p>
      <w:r>
        <w:pict>
          <v:rect style="width:0;height:1.5pt" o:hralign="center" o:hrstd="t" o:hr="t"/>
        </w:pict>
      </w:r>
    </w:p>
    <w:bookmarkStart w:id="26" w:name="catálogo-de-eventos-de-negocio-evt"/>
    <w:p>
      <w:pPr>
        <w:pStyle w:val="Heading2"/>
      </w:pPr>
      <w:r>
        <w:t xml:space="preserve">1. Catálogo de Eventos de Negocio (EVT)</w:t>
      </w:r>
    </w:p>
    <w:p>
      <w:pPr>
        <w:pStyle w:val="FirstParagraph"/>
      </w:pPr>
      <w:r>
        <w:rPr>
          <w:i/>
          <w:iCs/>
        </w:rPr>
        <w:t xml:space="preserve">Un suceso significativo que ocurre dentro o fuera del sistema y que requiere una respuesta de negocio.</w:t>
      </w:r>
    </w:p>
    <w:bookmarkStart w:id="20" w:name="eventos-de-otorgamiento-evt-otg"/>
    <w:p>
      <w:pPr>
        <w:pStyle w:val="Heading3"/>
      </w:pPr>
      <w:r>
        <w:t xml:space="preserve">1.1. Eventos de Otorgamiento (</w:t>
      </w:r>
      <w:r>
        <w:rPr>
          <w:rStyle w:val="VerbatimChar"/>
        </w:rPr>
        <w:t xml:space="preserve">EVT-OTG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EVT-OTG-001</w:t>
      </w:r>
      <w:r>
        <w:t xml:space="preserve">: Recepción de Resolución de Incapacidad Permanente (REIP).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EVT-OTG-002</w:t>
      </w:r>
      <w:r>
        <w:t xml:space="preserve">: Recepción de Solicitud de Pensión de Sobrevivencia.</w:t>
      </w:r>
    </w:p>
    <w:bookmarkEnd w:id="20"/>
    <w:bookmarkStart w:id="21" w:name="eventos-de-ciclo-de-vida-evt-ciclo"/>
    <w:p>
      <w:pPr>
        <w:pStyle w:val="Heading3"/>
      </w:pPr>
      <w:r>
        <w:t xml:space="preserve">1.2. Eventos de Ciclo de Vida (</w:t>
      </w:r>
      <w:r>
        <w:rPr>
          <w:rStyle w:val="VerbatimChar"/>
        </w:rPr>
        <w:t xml:space="preserve">EVT-CICLO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EVT-CICLO-001</w:t>
      </w:r>
      <w:r>
        <w:t xml:space="preserve">: Un beneficiario cumple la edad legal para el cese de su beneficio (ej. 65 años) o para un cambio de condición (ej. 45 años para viudez).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EVT-CICLO-002</w:t>
      </w:r>
      <w:r>
        <w:t xml:space="preserve">: Se recibe notificación de un nuevo vínculo (Matrimonio/AUC) de un beneficiario de viudez.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EVT-CICLO-003</w:t>
      </w:r>
      <w:r>
        <w:t xml:space="preserve">: Se recibe un certificado de estudios válido para un beneficiario de orfandad.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EVT-CICLO-004</w:t>
      </w:r>
      <w:r>
        <w:t xml:space="preserve">: Vence el plazo para la presentación de un certificado de estudios.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EVT-CICLO-005</w:t>
      </w:r>
      <w:r>
        <w:t xml:space="preserve">: Se alcanza el límite legal de pago de subsidios (104 semanas).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EVT-CICLO-006</w:t>
      </w:r>
      <w:r>
        <w:t xml:space="preserve">: Se detecta el fallecimiento de un beneficiario (ej. vía cruce con Registro Civil).</w:t>
      </w:r>
    </w:p>
    <w:bookmarkEnd w:id="21"/>
    <w:bookmarkStart w:id="22" w:name="eventos-de-mantenimiento-evt-mant"/>
    <w:p>
      <w:pPr>
        <w:pStyle w:val="Heading3"/>
      </w:pPr>
      <w:r>
        <w:t xml:space="preserve">1.3. Eventos de Mantenimiento (</w:t>
      </w:r>
      <w:r>
        <w:rPr>
          <w:rStyle w:val="VerbatimChar"/>
        </w:rPr>
        <w:t xml:space="preserve">EVT-MANT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EVT-MANT-001</w:t>
      </w:r>
      <w:r>
        <w:t xml:space="preserve">: El umbral de variación del IPC para el reajuste de pensiones es alcanzado.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EVT-MANT-002</w:t>
      </w:r>
      <w:r>
        <w:t xml:space="preserve">: Se recibe una solicitud de revisión de incapacidad por agravamiento.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EVT-MANT-003</w:t>
      </w:r>
      <w:r>
        <w:t xml:space="preserve">: Se otorga una pensión de invalidez a un funcionario público, gatillando notificaciones especiales.</w:t>
      </w:r>
    </w:p>
    <w:bookmarkEnd w:id="22"/>
    <w:bookmarkStart w:id="23" w:name="X0f0f7a97b76c89aa6df3b23d01303d427361699"/>
    <w:p>
      <w:pPr>
        <w:pStyle w:val="Heading3"/>
      </w:pPr>
      <w:r>
        <w:t xml:space="preserve">1.4. Eventos de Interacción de Usuario (</w:t>
      </w:r>
      <w:r>
        <w:rPr>
          <w:rStyle w:val="VerbatimChar"/>
        </w:rPr>
        <w:t xml:space="preserve">EVT-USER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EVT-USER-001</w:t>
      </w:r>
      <w:r>
        <w:t xml:space="preserve">: Un usuario solicita información sobre un beneficiario.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EVT-USER-002</w:t>
      </w:r>
      <w:r>
        <w:t xml:space="preserve">: Un beneficiario interpone un reclamo o apelación a una REIP.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EVT-USER-003</w:t>
      </w:r>
      <w:r>
        <w:t xml:space="preserve">: Se notifica la negativa de un beneficiario a seguir un tratamiento médico.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EVT-USER-004</w:t>
      </w:r>
      <w:r>
        <w:t xml:space="preserve">: Un beneficiario acepta retomar un tratamiento médico previamente rechazado.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EVT-USER-005</w:t>
      </w:r>
      <w:r>
        <w:t xml:space="preserve">: Se solicita el registro o modificación de un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 </w:t>
      </w:r>
      <w:r>
        <w:t xml:space="preserve">(apoderado, cuenta bancaria, etc.).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EVT-USER-006</w:t>
      </w:r>
      <w:r>
        <w:t xml:space="preserve">: Se solicita un cambio de entidad previsional (AFP).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EVT-USER-007</w:t>
      </w:r>
      <w:r>
        <w:t xml:space="preserve">: Se solicita un cambio de sistema de salud (Fonasa/Isapre).</w:t>
      </w:r>
    </w:p>
    <w:bookmarkEnd w:id="23"/>
    <w:bookmarkStart w:id="24" w:name="eventos-externos-evt-ext"/>
    <w:p>
      <w:pPr>
        <w:pStyle w:val="Heading3"/>
      </w:pPr>
      <w:r>
        <w:t xml:space="preserve">1.5. Eventos Externos (</w:t>
      </w:r>
      <w:r>
        <w:rPr>
          <w:rStyle w:val="VerbatimChar"/>
        </w:rPr>
        <w:t xml:space="preserve">EVT-EXT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EVT-EXT-001</w:t>
      </w:r>
      <w:r>
        <w:t xml:space="preserve">: Se recibe una resolución o dictamen de un ente regulador (COMERE/SUSESO).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EVT-EXT-002</w:t>
      </w:r>
      <w:r>
        <w:t xml:space="preserve">: Se detecta un cambio de estado de una carga familiar en la sincronización con SIVEGAM.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EVT-EXT-003</w:t>
      </w:r>
      <w:r>
        <w:t xml:space="preserve">: Se recibe un archivo de rechazo del informe financiero SIVEGAM desde SUSESO.</w:t>
      </w:r>
    </w:p>
    <w:bookmarkEnd w:id="24"/>
    <w:bookmarkStart w:id="25" w:name="Xeab0ef3504b301bce9ee223fa04058a15b24295"/>
    <w:p>
      <w:pPr>
        <w:pStyle w:val="Heading3"/>
      </w:pPr>
      <w:r>
        <w:t xml:space="preserve">1.6. Eventos de Sistema y Pagos (</w:t>
      </w:r>
      <w:r>
        <w:rPr>
          <w:rStyle w:val="VerbatimChar"/>
        </w:rPr>
        <w:t xml:space="preserve">EVT-SISTEMA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EVT-PAG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EVT-SISTEMA-001</w:t>
      </w:r>
      <w:r>
        <w:t xml:space="preserve">: El scheduler inicia el ciclo de pago mensual.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EVT-PAG-001</w:t>
      </w:r>
      <w:r>
        <w:t xml:space="preserve">: Se recibe una solicitud de reembolso de un empleador del sector público.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atálogo-de-excepciones-de-negocio"/>
    <w:p>
      <w:pPr>
        <w:pStyle w:val="Heading2"/>
      </w:pPr>
      <w:r>
        <w:t xml:space="preserve">2. Catálogo de Excepciones de Negocio</w:t>
      </w:r>
    </w:p>
    <w:bookmarkStart w:id="27" w:name="excepciones-de-proceso-exp"/>
    <w:p>
      <w:pPr>
        <w:pStyle w:val="Heading3"/>
      </w:pPr>
      <w:r>
        <w:t xml:space="preserve">2.1. Excepciones de Proceso (EXP)</w:t>
      </w:r>
    </w:p>
    <w:p>
      <w:pPr>
        <w:pStyle w:val="FirstParagraph"/>
      </w:pPr>
      <w:r>
        <w:rPr>
          <w:i/>
          <w:iCs/>
        </w:rPr>
        <w:t xml:space="preserve">Desviaciones del flujo</w:t>
      </w:r>
      <w:r>
        <w:rPr>
          <w:i/>
          <w:iCs/>
        </w:rPr>
        <w:t xml:space="preserve"> </w:t>
      </w:r>
      <w:r>
        <w:rPr>
          <w:i/>
          <w:iCs/>
        </w:rPr>
        <w:t xml:space="preserve">“feliz”</w:t>
      </w:r>
      <w:r>
        <w:rPr>
          <w:i/>
          <w:iCs/>
        </w:rPr>
        <w:t xml:space="preserve"> </w:t>
      </w:r>
      <w:r>
        <w:rPr>
          <w:i/>
          <w:iCs/>
        </w:rPr>
        <w:t xml:space="preserve">que están contempladas en la normativa y tienen un manejo claro (caminos alternativos).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EXP-CESE-001</w:t>
      </w:r>
      <w:r>
        <w:t xml:space="preserve">: Cese por Nuevo Vínculo con Pago de Beneficio Adicional (24 meses de pensión).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EXP-OTG-001</w:t>
      </w:r>
      <w:r>
        <w:t xml:space="preserve">: Devolución de Indemnización por Reclamo Exitoso que otorga una Pensión.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EXP-MANT-001</w:t>
      </w:r>
      <w:r>
        <w:t xml:space="preserve">: Suspensión de beneficio por Negativa a Tratamiento.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EXP-PAGO-001</w:t>
      </w:r>
      <w:r>
        <w:t xml:space="preserve">: Ajuste de Monto a la Pensión Mínima garantizada por ley.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EXP-OTG-002</w:t>
      </w:r>
      <w:r>
        <w:t xml:space="preserve">: Otorgamiento de Pensión Transitoria por Límite de Subsidio.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EXP-OTG-003</w:t>
      </w:r>
      <w:r>
        <w:t xml:space="preserve">: No se aplica Pensión Transitoria a Funcionario Público (se detiene el flujo).</w:t>
      </w:r>
    </w:p>
    <w:bookmarkEnd w:id="27"/>
    <w:bookmarkStart w:id="28" w:name="excepciones-de-dominio-exd"/>
    <w:p>
      <w:pPr>
        <w:pStyle w:val="Heading3"/>
      </w:pPr>
      <w:r>
        <w:t xml:space="preserve">2.2. Excepciones de Dominio (EXD)</w:t>
      </w:r>
    </w:p>
    <w:p>
      <w:pPr>
        <w:pStyle w:val="FirstParagraph"/>
      </w:pPr>
      <w:r>
        <w:rPr>
          <w:i/>
          <w:iCs/>
        </w:rPr>
        <w:t xml:space="preserve">Inconsistencias o violaciones de reglas fundamentales que requieren resolución experta o gatillan procesos de corrección.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EXD-VALID-001</w:t>
      </w:r>
      <w:r>
        <w:t xml:space="preserve">: Prescripción del Derecho a Cobro de Subsidio (han pasado más de 6 meses).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EXD-REVI-001</w:t>
      </w:r>
      <w:r>
        <w:t xml:space="preserve">: Caducidad de la Acción de Revisión de una prestación.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EXD-DATOS-001</w:t>
      </w:r>
      <w:r>
        <w:t xml:space="preserve">: Se detecta un dato previsional erróneo que requiere una corrección retroactiva.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EXD-SOBREV-001</w:t>
      </w:r>
      <w:r>
        <w:t xml:space="preserve">: Caducidad del pago retroactivo en una pensión de sobrevivencia.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EXD-DATOS-002</w:t>
      </w:r>
      <w:r>
        <w:t xml:space="preserve">: El historial de rentas de un trabajador es insuficiente para calcular un Sueldo Base.</w:t>
      </w:r>
    </w:p>
    <w:bookmarkEnd w:id="28"/>
    <w:bookmarkEnd w:id="29"/>
    <w:bookmarkEnd w:id="3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2025-08-12T11:46:53Z</dcterms:created>
  <dcterms:modified xsi:type="dcterms:W3CDTF">2025-08-12T11:46:53Z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