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nexo-g-escenarios-de-verificación-ev"/>
    <w:p>
      <w:pPr>
        <w:pStyle w:val="Heading1"/>
      </w:pPr>
      <w:r>
        <w:t xml:space="preserve">Anexo G: Escenarios de Verificación (EV)</w:t>
      </w:r>
    </w:p>
    <w:p>
      <w:pPr>
        <w:pStyle w:val="FirstParagraph"/>
      </w:pPr>
      <w:r>
        <w:rPr>
          <w:i/>
          <w:iCs/>
        </w:rPr>
        <w:t xml:space="preserve">Propósito: Definir cómo se valida y se prueba que la especificación del dominio es correcta y completa. Proporciona los casos de uso concretos y las pruebas lógicas que el sistema debe superar para ser considerado conforme.</w:t>
      </w:r>
    </w:p>
    <w:p>
      <w:r>
        <w:pict>
          <v:rect style="width:0;height:1.5pt" o:hralign="center" o:hrstd="t" o:hr="t"/>
        </w:pict>
      </w:r>
    </w:p>
    <w:bookmarkStart w:id="20" w:name="X96509ca40eb031889a06060afc58d8506d418a8"/>
    <w:p>
      <w:pPr>
        <w:pStyle w:val="Heading2"/>
      </w:pPr>
      <w:r>
        <w:t xml:space="preserve">1. Metodología de Verificación y Complejidad (ICEV)</w:t>
      </w:r>
    </w:p>
    <w:p>
      <w:pPr>
        <w:pStyle w:val="FirstParagraph"/>
      </w:pPr>
      <w:r>
        <w:rPr>
          <w:i/>
          <w:iCs/>
        </w:rPr>
        <w:t xml:space="preserve">Un marco para clasificar la complejidad de un escenario de prueba.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Complejidad de Datos (DT):</w:t>
      </w:r>
      <w:r>
        <w:t xml:space="preserve"> </w:t>
      </w:r>
      <w:r>
        <w:t xml:space="preserve">Mide la dificultad para obtener y procesar los datos necesarios.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Complejidad de Entidades (DE):</w:t>
      </w:r>
      <w:r>
        <w:t xml:space="preserve"> </w:t>
      </w:r>
      <w:r>
        <w:t xml:space="preserve">Evalúa el número y la interdependencia de las entidades del dominio.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Complejidad Normativa (DN):</w:t>
      </w:r>
      <w:r>
        <w:t xml:space="preserve"> </w:t>
      </w:r>
      <w:r>
        <w:t xml:space="preserve">Mide la cantidad y dificultad de las reglas de negocio.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Complejidad de Decisión (DJ):</w:t>
      </w:r>
      <w:r>
        <w:t xml:space="preserve"> </w:t>
      </w:r>
      <w:r>
        <w:t xml:space="preserve">Evalúa si el proceso requiere juicio experto o validación humana.</w:t>
      </w:r>
    </w:p>
    <w:p>
      <w:r>
        <w:pict>
          <v:rect style="width:0;height:1.5pt" o:hralign="center" o:hrstd="t" o:hr="t"/>
        </w:pict>
      </w:r>
    </w:p>
    <w:bookmarkEnd w:id="20"/>
    <w:bookmarkStart w:id="27" w:name="catálogo-de-escenarios-de-verificación"/>
    <w:p>
      <w:pPr>
        <w:pStyle w:val="Heading2"/>
      </w:pPr>
      <w:r>
        <w:t xml:space="preserve">2. Catálogo de Escenarios de Verificación</w:t>
      </w:r>
    </w:p>
    <w:p>
      <w:pPr>
        <w:pStyle w:val="FirstParagraph"/>
      </w:pPr>
      <w:r>
        <w:rPr>
          <w:i/>
          <w:iCs/>
        </w:rPr>
        <w:t xml:space="preserve">La siguiente lista de escenarios de verificación está organizada según el ciclo de vida del beneficio, priorizando una lectura lógica para el negocio. Cada identificador sigue la nomenclatura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CATEGORÍA-TIPO-CORRELATIVO</w:t>
      </w:r>
      <w:r>
        <w:rPr>
          <w:i/>
          <w:iCs/>
        </w:rPr>
        <w:t xml:space="preserve">.</w:t>
      </w:r>
    </w:p>
    <w:bookmarkStart w:id="21" w:name="X34116f81b4b7dc578b5c3b1e3ccd0b574476369"/>
    <w:p>
      <w:pPr>
        <w:pStyle w:val="Heading3"/>
      </w:pPr>
      <w:r>
        <w:t xml:space="preserve">2.1. Otorgamiento y Constitución del Beneficio (OTG)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OTG-EVP-001</w:t>
      </w:r>
      <w:r>
        <w:t xml:space="preserve">: (Camino Feliz Principal) Otorgamiento de Pensión a Trabajador Dependiente.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OTG-EVP-002</w:t>
      </w:r>
      <w:r>
        <w:t xml:space="preserve">: (Segundo Camino Feliz) Otorgamiento de Pensión de Sobrevivencia con Múltiples Beneficiarios.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OTG-EVP-003</w:t>
      </w:r>
      <w:r>
        <w:t xml:space="preserve">: (Variación 1) Otorgamiento de Pensión a Trabajador Independiente con Cotizaciones al Día.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OTG-EVP-004</w:t>
      </w:r>
      <w:r>
        <w:t xml:space="preserve">: (Variación 2) Otorgamiento con Múltiples Empleadores.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OTG-EVP-005</w:t>
      </w:r>
      <w:r>
        <w:t xml:space="preserve">: (Excepción en el Flujo) Otorgamiento con Pago Retenido por Deuda de Cotizaciones.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OTG-EVP-006</w:t>
      </w:r>
      <w:r>
        <w:t xml:space="preserve">: (Caso Especial) Otorgamiento de Pensión de Invalidez a Funcionario Público y notificación de cese.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OTG-EVL-001</w:t>
      </w:r>
      <w:r>
        <w:t xml:space="preserve">: (Lógica de Soporte) Lógica de Cálculo de SBM para Independientes (sin amplificación).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OTG-EVL-002</w:t>
      </w:r>
      <w:r>
        <w:t xml:space="preserve">: (Lógica de Soporte) Lógica de No Aplicación de Pensión Transitoria a Funcionario Público.</w:t>
      </w:r>
    </w:p>
    <w:bookmarkEnd w:id="21"/>
    <w:bookmarkStart w:id="22" w:name="mantenimiento-y-eventos-de-vida-mant"/>
    <w:p>
      <w:pPr>
        <w:pStyle w:val="Heading3"/>
      </w:pPr>
      <w:r>
        <w:t xml:space="preserve">2.2. Mantenimiento y Eventos de Vida (MANT)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MANT-EVP-001</w:t>
      </w:r>
      <w:r>
        <w:t xml:space="preserve">: (Proceso) Reevaluación de Pensión por Nuevo Siniestro con Aumento de Beneficio.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MANT-EVL-001</w:t>
      </w:r>
      <w:r>
        <w:t xml:space="preserve">: (Lógica Clave) Lógica de Cálculo Diferencial entre Revisión (mismo SBM) y Reevaluación (nuevo SBM).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MANT-EVL-002</w:t>
      </w:r>
      <w:r>
        <w:t xml:space="preserve">: (Lógica de Protección) Aplicación de Piso Mínimo en Reevaluación de Pensión (evita disminución de beneficio).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MANT-EVL-003</w:t>
      </w:r>
      <w:r>
        <w:t xml:space="preserve">: (Lógica de Protección) Aplicación de Piso Mínimo en Reevaluación con Resultado Desfavorable.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MANT-EVC-001</w:t>
      </w:r>
      <w:r>
        <w:t xml:space="preserve">: (Gestión de Beneficiarios) Mantenimiento de Pensión de Orfandad por Acreditación de Estudios a tiempo.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MANT-EVP-002</w:t>
      </w:r>
      <w:r>
        <w:t xml:space="preserve">: (Gestión de Beneficiarios) Regularización de Pensión de Sobrevivencia por Cese de un Hijo (Acrecimiento).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MANT-EVP-003</w:t>
      </w:r>
      <w:r>
        <w:t xml:space="preserve">: (Gestión de Beneficiarios) Regularización de Pensión de Sobrevivencia (Prorrata).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MANT-EVP-004</w:t>
      </w:r>
      <w:r>
        <w:t xml:space="preserve">: (Tareas Administrativas) Gestión de Apoderado con Pago en el Extranjero.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MANT-EVD-001</w:t>
      </w:r>
      <w:r>
        <w:t xml:space="preserve">: (Tareas Administrativas) Gestión de Pensión Laboral con Pensión de Invalidez Común Preexistente (notificación a AFP).</w:t>
      </w:r>
    </w:p>
    <w:bookmarkEnd w:id="22"/>
    <w:bookmarkStart w:id="23" w:name="pagos-y-operación-financiera-pago"/>
    <w:p>
      <w:pPr>
        <w:pStyle w:val="Heading3"/>
      </w:pPr>
      <w:r>
        <w:t xml:space="preserve">2.3. Pagos y Operación Financiera (PAGO)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PAGO-EVP-001</w:t>
      </w:r>
      <w:r>
        <w:t xml:space="preserve">: (Proceso Macro) Ejecución Completa del Ciclo de Pago Mensual.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PAGO-EVP-002</w:t>
      </w:r>
      <w:r>
        <w:t xml:space="preserve">: (Proceso Macro) Aplicación Masiva de Reajuste por IPC.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PAGO-EVP-003</w:t>
      </w:r>
      <w:r>
        <w:t xml:space="preserve">: (Proceso Macro) Orquestación y Pago de Aguinaldo/Bono Masivo.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PAGO-EVP-004</w:t>
      </w:r>
      <w:r>
        <w:t xml:space="preserve">: (Proceso Macro) Resiliencia del Ciclo de Pago ante Fallos Individuales.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PAGO-EVL-001</w:t>
      </w:r>
      <w:r>
        <w:t xml:space="preserve">: (Validación de Salidas) Cuadratura de Totales en Nómina Bancaria.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PAGO-EVL-002</w:t>
      </w:r>
      <w:r>
        <w:t xml:space="preserve">: (Validación de Salidas) Cuadratura de Totales en Archivo de Cotizaciones PREVIRED.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PAGO-EVP-005</w:t>
      </w:r>
      <w:r>
        <w:t xml:space="preserve">: (Validación de Salidas) Generación de Archivo Contable Post-Pago para SAP.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PAGO-EVL-003</w:t>
      </w:r>
      <w:r>
        <w:t xml:space="preserve">: (Lógica de Mapeo) Lógica de Mapeo de Datos para Nómina Banco de Chile (Pago a Apoderado).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PAGO-EVL-004</w:t>
      </w:r>
      <w:r>
        <w:t xml:space="preserve">: (Lógica de Mapeo) Lógica de Mapeo para Archivo PREVIRED (distinción entre pago normal y retroactivo).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PAGO-EVD-001</w:t>
      </w:r>
      <w:r>
        <w:t xml:space="preserve">: (Cálculo Individual) Gestión de Descuento por Crédito Social CCAF en la liquidación.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PAGO-EVC-001</w:t>
      </w:r>
      <w:r>
        <w:t xml:space="preserve">: (Cálculo Individual) Aplicación de Descuento Manual en Cuotas a lo largo de varias liquidaciones.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PAGO-EVC-002</w:t>
      </w:r>
      <w:r>
        <w:t xml:space="preserve">: (Cálculo Individual) Retención de Asignación Familiar por activación de un</w:t>
      </w:r>
      <w:r>
        <w:t xml:space="preserve"> </w:t>
      </w:r>
      <w:r>
        <w:rPr>
          <w:rStyle w:val="VerbatimChar"/>
        </w:rPr>
        <w:t xml:space="preserve">AcuerdoDePago</w:t>
      </w:r>
      <w:r>
        <w:t xml:space="preserve"> </w:t>
      </w:r>
      <w:r>
        <w:t xml:space="preserve">de tipo</w:t>
      </w:r>
      <w:r>
        <w:t xml:space="preserve"> </w:t>
      </w:r>
      <w:r>
        <w:rPr>
          <w:rStyle w:val="VerbatimChar"/>
        </w:rPr>
        <w:t xml:space="preserve">PagoDirectoAsignacionFamiliar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PAGO-EVP-006</w:t>
      </w:r>
      <w:r>
        <w:t xml:space="preserve">: (Cálculo Individual) Gestión de Reembolso de Subsidio/Pensión a Entidad Pública.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PAGO-EVL-005</w:t>
      </w:r>
      <w:r>
        <w:t xml:space="preserve">: (Cálculo Individual) Cálculo de Prorrata en Pensión de Sobrevivencia con Múltiples Beneficiarios.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PAGO-EVL-006</w:t>
      </w:r>
      <w:r>
        <w:t xml:space="preserve">: (Cálculo Individual) Lógica de Cálculo de Prorrata de Concurrencia entre organismos.</w:t>
      </w:r>
    </w:p>
    <w:bookmarkEnd w:id="23"/>
    <w:bookmarkStart w:id="24" w:name="ceses-y-suspensiones-cese"/>
    <w:p>
      <w:pPr>
        <w:pStyle w:val="Heading3"/>
      </w:pPr>
      <w:r>
        <w:t xml:space="preserve">2.4. Ceses y Suspensiones (CESE)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CESE-EVP-001</w:t>
      </w:r>
      <w:r>
        <w:t xml:space="preserve">: Cese de Pensión de Viudez por Nuevo Vínculo (con pago final de 2 años).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CESE-EVP-002</w:t>
      </w:r>
      <w:r>
        <w:t xml:space="preserve">: Suspensión y Reactivación de Pensión de Orfandad por Certificado de Estudios.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CESE-EVL-001</w:t>
      </w:r>
      <w:r>
        <w:t xml:space="preserve">: Cálculo de Días a Pagar por Cese a Mitad de Mes.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CESE-EVL-002</w:t>
      </w:r>
      <w:r>
        <w:t xml:space="preserve">: Cálculo de Días Pagados en Exceso por Notificación de Fallecimiento Tardía.</w:t>
      </w:r>
    </w:p>
    <w:bookmarkEnd w:id="24"/>
    <w:bookmarkStart w:id="25" w:name="correcciones-y-casos-excepcionales-corr"/>
    <w:p>
      <w:pPr>
        <w:pStyle w:val="Heading3"/>
      </w:pPr>
      <w:r>
        <w:t xml:space="preserve">2.5. Correcciones y Casos Excepcionales (CORR)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CORR-EVC-001</w:t>
      </w:r>
      <w:r>
        <w:t xml:space="preserve">: (Reactivo Externo) Ejecución de Dictamen de SUSESO que Ordena Reliquidar una Pensión.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CORR-EVP-001</w:t>
      </w:r>
      <w:r>
        <w:t xml:space="preserve">: (Reactivo Interno) Proceso de Reversión de Indemnización y Creación de Deuda por Otorgamiento de Pensión.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CORR-EVP-002</w:t>
      </w:r>
      <w:r>
        <w:t xml:space="preserve">: (Reactivo Interno) Proceso de Devolución de Indemnización por Reclamo Exitoso.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CORR-EVD-001</w:t>
      </w:r>
      <w:r>
        <w:t xml:space="preserve">: (Validación Preventiva) Intento de Reevaluación sobre una Gran Invalidez (debe ser rechazado por regla</w:t>
      </w:r>
      <w:r>
        <w:t xml:space="preserve"> </w:t>
      </w:r>
      <w:r>
        <w:rPr>
          <w:rStyle w:val="VerbatimChar"/>
        </w:rPr>
        <w:t xml:space="preserve">VALID-MANT-002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CORR-EVD-002</w:t>
      </w:r>
      <w:r>
        <w:t xml:space="preserve">: (Validación Preventiva) Verificación de Vigencia de Mandato para Cobro (límite de 2 años).</w:t>
      </w:r>
    </w:p>
    <w:bookmarkEnd w:id="25"/>
    <w:bookmarkStart w:id="26" w:name="reliquidaciones-y-cambios-de-marco-relq"/>
    <w:p>
      <w:pPr>
        <w:pStyle w:val="Heading3"/>
      </w:pPr>
      <w:r>
        <w:t xml:space="preserve">2.6. Reliquidaciones y Cambios de Marco (RELQ)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RELQ-EVP-001</w:t>
      </w:r>
      <w:r>
        <w:t xml:space="preserve">: Reliquidación con corte de marco en 2022-09 (PGU inicial → TC 2022)</w:t>
      </w:r>
    </w:p>
    <w:p>
      <w:pPr>
        <w:pStyle w:val="Compact"/>
        <w:numPr>
          <w:ilvl w:val="1"/>
          <w:numId w:val="1008"/>
        </w:numPr>
      </w:pPr>
      <w:r>
        <w:t xml:space="preserve">Entradas: Periodo a reliquidar 2022-07 a 2022-10; prestación activa continua.</w:t>
      </w:r>
    </w:p>
    <w:p>
      <w:pPr>
        <w:pStyle w:val="Compact"/>
        <w:numPr>
          <w:ilvl w:val="1"/>
          <w:numId w:val="1008"/>
        </w:numPr>
      </w:pPr>
      <w:r>
        <w:t xml:space="preserve">Marco esperado:</w:t>
      </w:r>
    </w:p>
    <w:p>
      <w:pPr>
        <w:pStyle w:val="Compact"/>
        <w:numPr>
          <w:ilvl w:val="2"/>
          <w:numId w:val="1009"/>
        </w:numPr>
      </w:pPr>
      <w:r>
        <w:t xml:space="preserve">2022-07..2022-08 →</w:t>
      </w:r>
      <w:r>
        <w:t xml:space="preserve"> </w:t>
      </w:r>
      <w:r>
        <w:rPr>
          <w:rStyle w:val="VerbatimChar"/>
        </w:rPr>
        <w:t xml:space="preserve">MN-2022-PGU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params-v6.0.0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logic-v2.0.0</w:t>
      </w:r>
      <w:r>
        <w:t xml:space="preserve">).</w:t>
      </w:r>
    </w:p>
    <w:p>
      <w:pPr>
        <w:pStyle w:val="Compact"/>
        <w:numPr>
          <w:ilvl w:val="2"/>
          <w:numId w:val="1009"/>
        </w:numPr>
      </w:pPr>
      <w:r>
        <w:t xml:space="preserve">2022-09..2022-10 →</w:t>
      </w:r>
      <w:r>
        <w:t xml:space="preserve"> </w:t>
      </w:r>
      <w:r>
        <w:rPr>
          <w:rStyle w:val="VerbatimChar"/>
        </w:rPr>
        <w:t xml:space="preserve">MN-2022-PGU-SEP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params-v6.0.0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logic-v6.0.0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Verificación: Líneas de liquidación y totales difieren entre tramos según directiva; evidencia de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por mes.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RELQ-EVP-002</w:t>
      </w:r>
      <w:r>
        <w:t xml:space="preserve">: Reliquidación PGU (reemplazo APS→PGU)</w:t>
      </w:r>
    </w:p>
    <w:p>
      <w:pPr>
        <w:pStyle w:val="Compact"/>
        <w:numPr>
          <w:ilvl w:val="1"/>
          <w:numId w:val="1010"/>
        </w:numPr>
      </w:pPr>
      <w:r>
        <w:t xml:space="preserve">Entradas: Caso con APS vigente a 2022-01; reliquidar 2022-02..2022-12.</w:t>
      </w:r>
    </w:p>
    <w:p>
      <w:pPr>
        <w:pStyle w:val="Compact"/>
        <w:numPr>
          <w:ilvl w:val="1"/>
          <w:numId w:val="1010"/>
        </w:numPr>
      </w:pPr>
      <w:r>
        <w:t xml:space="preserve">Verificación: Haber PGU aparece desde 2022-02; APS deja de aplicarse; totales ajustados y trazabilidad al marco.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RELQ-EVL-001</w:t>
      </w:r>
      <w:r>
        <w:t xml:space="preserve">: Elegibilidad TC 2022 en sobrevivencia (madre de hijos divorciada)</w:t>
      </w:r>
    </w:p>
    <w:p>
      <w:pPr>
        <w:pStyle w:val="Compact"/>
        <w:numPr>
          <w:ilvl w:val="1"/>
          <w:numId w:val="1011"/>
        </w:numPr>
      </w:pPr>
      <w:r>
        <w:t xml:space="preserve">Entradas: Inicio de derecho 2022-10-05.</w:t>
      </w:r>
    </w:p>
    <w:p>
      <w:pPr>
        <w:pStyle w:val="Compact"/>
        <w:numPr>
          <w:ilvl w:val="1"/>
          <w:numId w:val="1011"/>
        </w:numPr>
      </w:pPr>
      <w:r>
        <w:t xml:space="preserve">Verificación: No elegible antes de 2022-09; elegible desde</w:t>
      </w:r>
      <w:r>
        <w:t xml:space="preserve"> </w:t>
      </w:r>
      <w:r>
        <w:rPr>
          <w:rStyle w:val="VerbatimChar"/>
        </w:rPr>
        <w:t xml:space="preserve">MN-2022-PGU-SEP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PDN-OTG-006 v4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RELQ-EVP-003</w:t>
      </w:r>
      <w:r>
        <w:t xml:space="preserve">: Cese por nuevo vínculo (AUC) en mes de corte</w:t>
      </w:r>
    </w:p>
    <w:p>
      <w:pPr>
        <w:pStyle w:val="Compact"/>
        <w:numPr>
          <w:ilvl w:val="1"/>
          <w:numId w:val="1012"/>
        </w:numPr>
      </w:pPr>
      <w:r>
        <w:t xml:space="preserve">Entradas: AUC el 2022-09-10.</w:t>
      </w:r>
    </w:p>
    <w:p>
      <w:pPr>
        <w:pStyle w:val="Compact"/>
        <w:numPr>
          <w:ilvl w:val="1"/>
          <w:numId w:val="1012"/>
        </w:numPr>
      </w:pPr>
      <w:r>
        <w:t xml:space="preserve">Verificación: Aplica</w:t>
      </w:r>
      <w:r>
        <w:t xml:space="preserve"> </w:t>
      </w:r>
      <w:r>
        <w:rPr>
          <w:rStyle w:val="VerbatimChar"/>
        </w:rPr>
        <w:t xml:space="preserve">PDN-MANT-010 v2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MN-2022-PGU-SEP</w:t>
      </w:r>
      <w:r>
        <w:t xml:space="preserve">; prorrateo del mes conforme reglas de días (</w:t>
      </w:r>
      <w:r>
        <w:rPr>
          <w:rStyle w:val="VerbatimChar"/>
        </w:rPr>
        <w:t xml:space="preserve">CALC-PLI-009/010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RELQ-EVP-004</w:t>
      </w:r>
      <w:r>
        <w:t xml:space="preserve">: Reliquidación post reforma 2025</w:t>
      </w:r>
    </w:p>
    <w:p>
      <w:pPr>
        <w:pStyle w:val="Compact"/>
        <w:numPr>
          <w:ilvl w:val="1"/>
          <w:numId w:val="1013"/>
        </w:numPr>
      </w:pPr>
      <w:r>
        <w:t xml:space="preserve">Entradas: Reliquidar 2024-12..2025-02.</w:t>
      </w:r>
    </w:p>
    <w:p>
      <w:pPr>
        <w:pStyle w:val="Compact"/>
        <w:numPr>
          <w:ilvl w:val="1"/>
          <w:numId w:val="1013"/>
        </w:numPr>
      </w:pPr>
      <w:r>
        <w:t xml:space="preserve">Verificación: 2025-01..02 ejecuta</w:t>
      </w:r>
      <w:r>
        <w:t xml:space="preserve"> </w:t>
      </w:r>
      <w:r>
        <w:rPr>
          <w:rStyle w:val="VerbatimChar"/>
        </w:rPr>
        <w:t xml:space="preserve">MN-2025-REFORMA-LEY</w:t>
      </w:r>
      <w:r>
        <w:t xml:space="preserve"> </w:t>
      </w:r>
      <w:r>
        <w:t xml:space="preserve">(marco activo más reciente); diferencias respecto a 2024-12 justificadas por directiva.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RELQ-EVL-002</w:t>
      </w:r>
      <w:r>
        <w:t xml:space="preserve">: Borde de mes e inactivación a mitad de período en cambio de marco</w:t>
      </w:r>
    </w:p>
    <w:p>
      <w:pPr>
        <w:pStyle w:val="Compact"/>
        <w:numPr>
          <w:ilvl w:val="1"/>
          <w:numId w:val="1014"/>
        </w:numPr>
      </w:pPr>
      <w:r>
        <w:t xml:space="preserve">Entradas: Inactivación el día 15 en mes de corte de marco.</w:t>
      </w:r>
    </w:p>
    <w:p>
      <w:pPr>
        <w:pStyle w:val="Compact"/>
        <w:numPr>
          <w:ilvl w:val="1"/>
          <w:numId w:val="1014"/>
        </w:numPr>
      </w:pPr>
      <w:r>
        <w:t xml:space="preserve">Verificación: Prorrateo por tramo de marco y días; sin solapes de vigencia.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RELQ-EVE-001</w:t>
      </w:r>
      <w:r>
        <w:t xml:space="preserve">: Vacíos o solapes de vigencia (política)</w:t>
      </w:r>
    </w:p>
    <w:p>
      <w:pPr>
        <w:pStyle w:val="Compact"/>
        <w:numPr>
          <w:ilvl w:val="1"/>
          <w:numId w:val="1015"/>
        </w:numPr>
      </w:pPr>
      <w:r>
        <w:t xml:space="preserve">Entradas: Fecha sin marco o con dos marcos.</w:t>
      </w:r>
    </w:p>
    <w:p>
      <w:pPr>
        <w:pStyle w:val="Compact"/>
        <w:numPr>
          <w:ilvl w:val="1"/>
          <w:numId w:val="1015"/>
        </w:numPr>
      </w:pPr>
      <w:r>
        <w:t xml:space="preserve">Verificación: Error controlado del resolver; sin fallback implícito; evidencia registrada.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RELQ-EVL-003</w:t>
      </w:r>
      <w:r>
        <w:t xml:space="preserve">: Idempotencia de reliquidación</w:t>
      </w:r>
    </w:p>
    <w:p>
      <w:pPr>
        <w:pStyle w:val="Compact"/>
        <w:numPr>
          <w:ilvl w:val="1"/>
          <w:numId w:val="1016"/>
        </w:numPr>
      </w:pPr>
      <w:r>
        <w:t xml:space="preserve">Entradas: Ejecución repetida de la misma reliquidación.</w:t>
      </w:r>
    </w:p>
    <w:p>
      <w:pPr>
        <w:pStyle w:val="Compact"/>
        <w:numPr>
          <w:ilvl w:val="1"/>
          <w:numId w:val="1016"/>
        </w:numPr>
      </w:pPr>
      <w:r>
        <w:t xml:space="preserve">Verificación: Mismo resultado/hash; referencia al mismo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.</w:t>
      </w:r>
    </w:p>
    <w:bookmarkEnd w:id="26"/>
    <w:bookmarkEnd w:id="27"/>
    <w:bookmarkEnd w:id="28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2025-08-12T11:46:53Z</dcterms:created>
  <dcterms:modified xsi:type="dcterms:W3CDTF">2025-08-12T11:46:53Z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