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f6ffb11774a4a99faddfd3e937991c376e799d"/>
    <w:p>
      <w:pPr>
        <w:pStyle w:val="Heading1"/>
      </w:pPr>
      <w:r>
        <w:t xml:space="preserve">Anexo I: Catálogo de Informes Regulatorios y Notificaciones (CIRN)</w:t>
      </w:r>
    </w:p>
    <w:bookmarkStart w:id="25" w:name="X0b3e9df517c33207cf53b7b93ba78bff6f943b4"/>
    <w:p>
      <w:pPr>
        <w:pStyle w:val="Heading2"/>
      </w:pPr>
      <w:r>
        <w:rPr>
          <w:b/>
          <w:bCs/>
        </w:rPr>
        <w:t xml:space="preserve">20. Catálogo de Informes Regulatorios y Notificaciones (CIRN)</w:t>
      </w:r>
      <w:r>
        <w:t xml:space="preserve">**</w:t>
      </w:r>
    </w:p>
    <w:bookmarkStart w:id="20" w:name="propósito-y-alcance"/>
    <w:p>
      <w:pPr>
        <w:pStyle w:val="Heading3"/>
      </w:pPr>
      <w:r>
        <w:rPr>
          <w:b/>
          <w:bCs/>
        </w:rPr>
        <w:t xml:space="preserve">20.1. Propósito y Alcance</w:t>
      </w:r>
    </w:p>
    <w:p>
      <w:pPr>
        <w:pStyle w:val="FirstParagraph"/>
      </w:pPr>
      <w:r>
        <w:t xml:space="preserve">Este catálogo define y estandariza todos los informes y notificaciones que el sistema debe generar y enviar a entidades externas, ya sean entes reguladores (SUSESO, IPS), otros organismos administradores o empleadores.</w:t>
      </w:r>
    </w:p>
    <w:p>
      <w:pPr>
        <w:pStyle w:val="BodyText"/>
      </w:pPr>
      <w:r>
        <w:t xml:space="preserve">El propósito del CIRN es:</w:t>
      </w:r>
    </w:p>
    <w:p>
      <w:pPr>
        <w:pStyle w:val="Compact"/>
        <w:numPr>
          <w:ilvl w:val="0"/>
          <w:numId w:val="1001"/>
        </w:numPr>
      </w:pPr>
      <w:r>
        <w:t xml:space="preserve">Asegurar que el sistema cumpla con todas las obligaciones de información estipuladas por la normativa.</w:t>
      </w:r>
    </w:p>
    <w:p>
      <w:pPr>
        <w:pStyle w:val="Compact"/>
        <w:numPr>
          <w:ilvl w:val="0"/>
          <w:numId w:val="1001"/>
        </w:numPr>
      </w:pPr>
      <w:r>
        <w:t xml:space="preserve">Proporcionar especificaciones claras al equipo de desarrollo sobre el contenido, formato, frecuencia y destinatario de cada informe.</w:t>
      </w:r>
    </w:p>
    <w:p>
      <w:pPr>
        <w:pStyle w:val="Compact"/>
        <w:numPr>
          <w:ilvl w:val="0"/>
          <w:numId w:val="1001"/>
        </w:numPr>
      </w:pPr>
      <w:r>
        <w:t xml:space="preserve">Crear un marco para la gestión de la evolución normativa, permitiendo versionar y adaptar los informes a medida que cambien las regulaciones.</w:t>
      </w:r>
    </w:p>
    <w:p>
      <w:pPr>
        <w:pStyle w:val="FirstParagraph"/>
      </w:pPr>
      <w:r>
        <w:t xml:space="preserve">Cada informe definido aquí se corresponde con una instancia o un conjunto de instancias de la entidad</w:t>
      </w:r>
      <w:r>
        <w:t xml:space="preserve"> </w:t>
      </w:r>
      <w:r>
        <w:rPr>
          <w:rStyle w:val="VerbatimChar"/>
        </w:rPr>
        <w:t xml:space="preserve">InformeRegulatorio</w:t>
      </w:r>
      <w:r>
        <w:t xml:space="preserve"> </w:t>
      </w:r>
      <w:r>
        <w:t xml:space="preserve">o una notificación formal generada por el sistema.</w:t>
      </w:r>
    </w:p>
    <w:bookmarkEnd w:id="20"/>
    <w:bookmarkStart w:id="24" w:name="catálogo-detallado"/>
    <w:p>
      <w:pPr>
        <w:pStyle w:val="Heading3"/>
      </w:pPr>
      <w:r>
        <w:rPr>
          <w:b/>
          <w:bCs/>
        </w:rPr>
        <w:t xml:space="preserve">20.2. Catálogo Detallado</w:t>
      </w:r>
    </w:p>
    <w:bookmarkStart w:id="21" w:name="X640eddfca3af5813645a946d2c6ffa21bbeb71e"/>
    <w:p>
      <w:pPr>
        <w:pStyle w:val="Heading4"/>
      </w:pPr>
      <w:r>
        <w:rPr>
          <w:b/>
          <w:bCs/>
        </w:rPr>
        <w:t xml:space="preserve">A. Informes a la Superintendencia de Seguridad Social (SUSESO)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(PDN) Asociado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/ Disparador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y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Clave / Fuente Normativa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IR-SUSESO-001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de Otorgamientos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PDN-REP-001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vía 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Datos del beneficiario, tipo de prestación (</w:t>
            </w:r>
            <w:r>
              <w:rPr>
                <w:rStyle w:val="VerbatimChar"/>
              </w:rPr>
              <w:t xml:space="preserve">Pensión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Indemnización</w:t>
            </w:r>
            <w:r>
              <w:t xml:space="preserve">), monto, fecha de otorgamiento.</w:t>
            </w:r>
            <w:r>
              <w:t xml:space="preserve"> </w:t>
            </w:r>
            <w:r>
              <w:t xml:space="preserve">- Cumple con la necesidad de reportería general.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IR-SUSESO-002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de Modificaciones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PDN-COR-001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PDN-MANT-004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PDN-MANT-005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vía 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Identificación de la prestación modificada, causal de modificación (reliquidación, revisión, reevaluación), monto anterior, monto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IR-SUSESO-003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Mensual de Ceses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PDN-MANT-010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vía 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Identificación de la prestación cesada, causal de cese (edad de vejez, nuevo vínculo, fallecimiento), fecha efectiva del cese.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IR-SUSESO-004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de Suspensión de Subsidio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PDN-MANT-002</w:t>
            </w:r>
            <w:r>
              <w:t xml:space="preserve"> </w:t>
            </w:r>
            <w:r>
              <w:t xml:space="preserve">(implícito)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Disparador:</w:t>
            </w:r>
            <w:r>
              <w:t xml:space="preserve"> </w:t>
            </w:r>
            <w:r>
              <w:t xml:space="preserve">Al suspender un subsidio por negativa del trabajador a continuar tratamiento.</w:t>
            </w:r>
            <w: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Plazo:</w:t>
            </w:r>
            <w:r>
              <w:t xml:space="preserve"> </w:t>
            </w:r>
            <w:r>
              <w:t xml:space="preserve">Dentro de 5 días hábiles de la suspensión.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PDF vía Portal SUSESO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Identificación del trabajador, médico tratante, antecedentes que fundamentan la suspensión.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II, Letra 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IR-SUSESO-005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Expediente de Trámite por 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(Proceso de Gobernanza)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Disparador:</w:t>
            </w:r>
            <w:r>
              <w:t xml:space="preserve"> </w:t>
            </w:r>
            <w:r>
              <w:t xml:space="preserve">Solicitud explícita de SUSESO.</w:t>
            </w:r>
            <w: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Plazo:</w:t>
            </w:r>
            <w:r>
              <w:t xml:space="preserve"> </w:t>
            </w:r>
            <w:r>
              <w:t xml:space="preserve">Máximo 5 días hábiles desde el requerimiento.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 digital (PDFs, datos estructurados) vía Portal SUSESO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Entrega completa del</w:t>
            </w:r>
            <w:r>
              <w:t xml:space="preserve"> </w:t>
            </w:r>
            <w:r>
              <w:rPr>
                <w:rStyle w:val="VerbatimChar"/>
              </w:rPr>
              <w:t xml:space="preserve">ExpedienteDeTramite</w:t>
            </w:r>
            <w:r>
              <w:t xml:space="preserve"> </w:t>
            </w:r>
            <w:r>
              <w:t xml:space="preserve">físico o electrónico, conteniendo todos los documentos y gestiones.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I, Letra C, Número 5.</w:t>
            </w:r>
          </w:p>
        </w:tc>
      </w:tr>
    </w:tbl>
    <w:bookmarkEnd w:id="21"/>
    <w:bookmarkStart w:id="22" w:name="X82c69647e32de646c57a918b09e55240d8c9a29"/>
    <w:p>
      <w:pPr>
        <w:pStyle w:val="Heading4"/>
      </w:pPr>
      <w:r>
        <w:rPr>
          <w:b/>
          <w:bCs/>
        </w:rPr>
        <w:t xml:space="preserve">B. Informes al Instituto de Previsión Social (IPS)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(PDN) Asociado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/ Disparador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y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Clave / Fuente Normativa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IR-IPS-001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Nómina de Pensionados Próximos a Cumplir Edad de Vejez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(Proceso de Vigilancia)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electrónico (formato Anexo N°11) vía Interconexión de Datos Previsionales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Envío con 6 meses de antelación de la nómina de pensionados por invalidez que cumplirán la edad para pensionarse por vejez.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III, Letra D, Número 12, literal 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IR-IPS-002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Intercambio de Datos (Ley N°20.531)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(Proceso de Vigilancia y Pago)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 (flujo bidireccional)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electrónicos vía Interconexión de Datos Previsionales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Envío a IPS:</w:t>
            </w:r>
            <w:r>
              <w:t xml:space="preserve"> </w:t>
            </w:r>
            <w:r>
              <w:t xml:space="preserve">Monto de la cotización legal de salud de beneficiarios para cálculo de bonificación.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Recepción de IPS:</w:t>
            </w:r>
            <w:r>
              <w:t xml:space="preserve"> </w:t>
            </w:r>
            <w:r>
              <w:t xml:space="preserve">Nómina de beneficiarios con derecho a exención de cotización de salud.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IR-IPS-003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Estimación de Pensión (Leyes Antiguas)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PDN-OTG-002</w:t>
            </w:r>
            <w:r>
              <w:t xml:space="preserve"> </w:t>
            </w:r>
            <w:r>
              <w:t xml:space="preserve">(para funcionarios públicos específicos)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Disparador:</w:t>
            </w:r>
            <w:r>
              <w:t xml:space="preserve"> </w:t>
            </w:r>
            <w:r>
              <w:t xml:space="preserve">Al calcular una pensión para un funcionario público cubierto por Art. 1° Ley N°19.345.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Oficio formal / Interconexión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Solicitud al IPS para que estime la pensión que habría correspondido bajo las normas anteriores al 1 de marzo de 1995.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III, Letra D, Número 6.</w:t>
            </w:r>
          </w:p>
        </w:tc>
      </w:tr>
    </w:tbl>
    <w:bookmarkEnd w:id="22"/>
    <w:bookmarkStart w:id="23" w:name="c.-notificaciones-a-otras-entidades"/>
    <w:p>
      <w:pPr>
        <w:pStyle w:val="Heading4"/>
      </w:pPr>
      <w:r>
        <w:rPr>
          <w:b/>
          <w:bCs/>
        </w:rPr>
        <w:t xml:space="preserve">C. Notificaciones a Otras Entidades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(PDN) Asociado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/ Disparador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y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Clave / Fuente Normativa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NOTIF-EMP-001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de Cese de Funciones por Pensión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Disparador:</w:t>
            </w:r>
            <w:r>
              <w:t xml:space="preserve"> </w:t>
            </w:r>
            <w:r>
              <w:t xml:space="preserve">Al otorgarse una pensión de invalidez (parcial o total) a un funcionario público.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PDF formal vía correo electrónico certificado o portal de empleadores.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Informa a la entidad empleadora pública que el funcionario ha obtenido una pensión de la Ley 16.744 y debe cesar en sus funciones.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III, Letra D, Número 9, literal 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NOTIF-AFP-001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de Otorgamiento de Pensión de Invalidez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Disparador:</w:t>
            </w:r>
            <w:r>
              <w:t xml:space="preserve"> </w:t>
            </w:r>
            <w:r>
              <w:t xml:space="preserve">Al otorgar una pensión de invalidez a un afiliado del D.L. N°3.500.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Oficio formal / Interconexión con AFPs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Informa a la AFP correspondiente sobre la constitución de la pensión para que puedan gestionar la incompatibilidad del Art. 12 del D.L. N°3.500.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Fuente:</w:t>
            </w:r>
            <w:r>
              <w:t xml:space="preserve"> </w:t>
            </w:r>
            <w:r>
              <w:t xml:space="preserve">Compendio Libro VI, Título III, Letra D, Número 9, literal a).</w:t>
            </w:r>
          </w:p>
        </w:tc>
      </w:tr>
    </w:tbl>
    <w:bookmarkEnd w:id="23"/>
    <w:bookmarkEnd w:id="24"/>
    <w:bookmarkEnd w:id="25"/>
    <w:bookmarkEnd w:id="2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2025-08-12T11:46:56Z</dcterms:created>
  <dcterms:modified xsi:type="dcterms:W3CDTF">2025-08-12T11:46:56Z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