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nexo-k-matriz-de-trazabilidad-pdn-rdn"/>
    <w:p>
      <w:pPr>
        <w:pStyle w:val="Heading1"/>
      </w:pPr>
      <w:r>
        <w:t xml:space="preserve">Anexo K: Matriz de Trazabilidad (PDN-RDN)</w:t>
      </w:r>
    </w:p>
    <w:p>
      <w:pPr>
        <w:pStyle w:val="FirstParagraph"/>
      </w:pPr>
      <w:r>
        <w:rPr>
          <w:i/>
          <w:iCs/>
        </w:rPr>
        <w:t xml:space="preserve">Propósito: Proveer una visión clara y explícita de las dependencias entre los Procesos de Negocio (PDN) y las Reglas de Negocio (RDN). Esta matriz es una herramienta fundamental para el análisis de impacto, la planificación de pruebas y la comprensión de la arquitectura lógica del sistema.</w:t>
      </w:r>
    </w:p>
    <w:p>
      <w:r>
        <w:pict>
          <v:rect style="width:0;height:1.5pt" o:hralign="center" o:hrstd="t" o:hr="t"/>
        </w:pict>
      </w:r>
    </w:p>
    <w:bookmarkStart w:id="20" w:name="metodología-de-lectura"/>
    <w:p>
      <w:pPr>
        <w:pStyle w:val="Heading2"/>
      </w:pPr>
      <w:r>
        <w:t xml:space="preserve">1. Metodología de Lectura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Filas:</w:t>
      </w:r>
      <w:r>
        <w:t xml:space="preserve"> </w:t>
      </w:r>
      <w:r>
        <w:t xml:space="preserve">Representan la totalidad de los Procesos de Negocio (PDN) definidos en el</w:t>
      </w:r>
      <w:r>
        <w:t xml:space="preserve"> </w:t>
      </w:r>
      <w:r>
        <w:rPr>
          <w:rStyle w:val="VerbatimChar"/>
        </w:rPr>
        <w:t xml:space="preserve">Anexo 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Columnas:</w:t>
      </w:r>
      <w:r>
        <w:t xml:space="preserve"> </w:t>
      </w:r>
      <w:r>
        <w:t xml:space="preserve">Representan las Reglas de Negocio (RDN) atómicas definidas en el</w:t>
      </w:r>
      <w:r>
        <w:t xml:space="preserve"> </w:t>
      </w:r>
      <w:r>
        <w:rPr>
          <w:rStyle w:val="VerbatimChar"/>
        </w:rPr>
        <w:t xml:space="preserve">Anexo 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Marca (X):</w:t>
      </w:r>
      <w:r>
        <w:t xml:space="preserve"> </w:t>
      </w:r>
      <w:r>
        <w:t xml:space="preserve">Una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en la intersección de una fila y una columna indica que el proceso de esa fila</w:t>
      </w:r>
      <w:r>
        <w:t xml:space="preserve"> </w:t>
      </w:r>
      <w:r>
        <w:rPr>
          <w:b/>
          <w:bCs/>
        </w:rPr>
        <w:t xml:space="preserve">utiliza, invoca o depende directamente</w:t>
      </w:r>
      <w:r>
        <w:t xml:space="preserve"> </w:t>
      </w:r>
      <w:r>
        <w:t xml:space="preserve">de la regla de esa columna para su correcta ejecución.</w:t>
      </w:r>
    </w:p>
    <w:p>
      <w:pPr>
        <w:pStyle w:val="FirstParagraph"/>
      </w:pPr>
      <w:r>
        <w:t xml:space="preserve">Para mejorar la legibilidad, la matriz general se ha dividido en tablas más pequeñas, agrupadas por la categoría de las reglas de negocio.</w:t>
      </w:r>
    </w:p>
    <w:p>
      <w:r>
        <w:pict>
          <v:rect style="width:0;height:1.5pt" o:hralign="center" o:hrstd="t" o:hr="t"/>
        </w:pict>
      </w:r>
    </w:p>
    <w:bookmarkEnd w:id="20"/>
    <w:bookmarkStart w:id="21" w:name="Xffe90b77c55da242e34c9b4296e405c26d3f630"/>
    <w:p>
      <w:pPr>
        <w:pStyle w:val="Heading2"/>
      </w:pPr>
      <w:r>
        <w:t xml:space="preserve">2. Tabla 1: Trazabilidad con Reglas de Validación (VALID)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6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Proceso de Negocio (PDN)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VALID-OTG-001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VALID-OTG-002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VALID-SOBREV-001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VALID-ACUERDO-001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VALID-ACUERDO-002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VALID-ACUERDO-003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VALID-MANT-001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VALID-MANT-002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VALID-PAGO-001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VALID-PAGO-002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Otorgamiento (OTG)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 (MANT)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Corrección (COR)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Pagos (PAG)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Xec2beacb14994d18ebd5a43fb25a9f299f87112"/>
    <w:p>
      <w:pPr>
        <w:pStyle w:val="Heading2"/>
      </w:pPr>
      <w:r>
        <w:t xml:space="preserve">3. Tabla 2: Trazabilidad con Reglas de Cálculo (CALC)</w:t>
      </w:r>
    </w:p>
    <w:bookmarkStart w:id="22" w:name="X4698bb5fe2e3c6aa16173ddd9dbc6bbf07d8a35"/>
    <w:p>
      <w:pPr>
        <w:pStyle w:val="Heading3"/>
      </w:pPr>
      <w:r>
        <w:t xml:space="preserve">3.1. Cálculo de Otorgamiento, Mantenimiento y Finanzas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2"/>
        <w:gridCol w:w="1015"/>
        <w:gridCol w:w="1015"/>
        <w:gridCol w:w="1015"/>
        <w:gridCol w:w="1015"/>
        <w:gridCol w:w="1015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Proceso de Negocio (PDN)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CALC-OTG-001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CALC-OTG-002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CALC-MANT-001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CALC-MANT-002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CALC-MANT-003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CALC-FIN-001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CALC-REP-001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Otorgamiento (OTG)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 (MANT)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Pagos (PAG)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Financiera (FIN)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PDN-FIN-001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PDN-FIN-004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Reportería (REP)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PDN-REP-004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Monitoreo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PDN-MON-002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cálculo-de-liquidación-de-pago-pim-pli"/>
    <w:p>
      <w:pPr>
        <w:pStyle w:val="Heading3"/>
      </w:pPr>
      <w:r>
        <w:t xml:space="preserve">3.2. Cálculo de Liquidación de Pago (PIM &amp; PLI)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Proceso de Negocio (PDN)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CALC-PIM-*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CALC-PLI-011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 (MANT)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Corrección (COR)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PDN-COR-003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Pagos (PAG)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Monitoreo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PDN-MON-006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7eb0274bad188d2f2cf39c96c0b4e8b34734919"/>
    <w:p>
      <w:pPr>
        <w:pStyle w:val="Heading2"/>
      </w:pPr>
      <w:r>
        <w:t xml:space="preserve">4. Tabla 3: Trazabilidad con Reglas de Cumplimiento, Mapeo y Gobernanza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1164"/>
        <w:gridCol w:w="1164"/>
        <w:gridCol w:w="1164"/>
        <w:gridCol w:w="1164"/>
        <w:gridCol w:w="1164"/>
        <w:gridCol w:w="11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Proceso de Negocio (PDN)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CUMP-OTG-*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CUMP-MANT-001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CUMP-ASIGFAM-001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CUMP-PAG-001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MAP-REP-001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VERF-GOB-001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Otorgamiento (OTG)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PDN-OTG-006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Mantenimiento (MANT)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PDN-MANT-017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Pagos (PAG)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PDN-PAG-006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Gestión Financiera (FIN)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PDN-FIN-003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Reportería (REP)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PDN-REP-004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Monitoreo (MON)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PDN-MON-001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PDN-MON-003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Gobernanza (GOB)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PDN-GOB-001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</w:tbl>
    <w:bookmarkEnd w:id="25"/>
    <w:bookmarkEnd w:id="26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2025-08-12T11:46:58Z</dcterms:created>
  <dcterms:modified xsi:type="dcterms:W3CDTF">2025-08-12T11:46:58Z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