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3ce2537916e11330d898980781ee18da256dba"/>
    <w:p>
      <w:pPr>
        <w:pStyle w:val="Heading1"/>
      </w:pPr>
      <w:r>
        <w:t xml:space="preserve">ADR-000: Adopción de ADRs (Documenting Architecture Decisions, Nygard)</w:t>
      </w:r>
    </w:p>
    <w:p>
      <w:pPr>
        <w:pStyle w:val="Compact"/>
        <w:numPr>
          <w:ilvl w:val="0"/>
          <w:numId w:val="1001"/>
        </w:numPr>
      </w:pPr>
      <w:r>
        <w:t xml:space="preserve">Estado: Aceptada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Es necesario registrar decisiones arquitectónicas significativas de forma ágil, modular y trazable a lo largo del proyecto.</w:t>
      </w:r>
    </w:p>
    <w:p>
      <w:pPr>
        <w:pStyle w:val="Compact"/>
        <w:numPr>
          <w:ilvl w:val="0"/>
          <w:numId w:val="1002"/>
        </w:numPr>
      </w:pPr>
      <w:r>
        <w:t xml:space="preserve">Los documentos largos tienden a desactualizarse; se prefieren piezas pequeñas y mantenibles.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3"/>
        </w:numPr>
      </w:pPr>
      <w:r>
        <w:t xml:space="preserve">Adoptar el formato de Architecture Decision Records (ADRs) según Michael Nygard para documentar decisiones arquitectónicas.</w:t>
      </w:r>
    </w:p>
    <w:p>
      <w:pPr>
        <w:pStyle w:val="Compact"/>
        <w:numPr>
          <w:ilvl w:val="0"/>
          <w:numId w:val="1003"/>
        </w:numPr>
      </w:pPr>
      <w:r>
        <w:t xml:space="preserve">Mantener los ADRs en el repositorio bajo</w:t>
      </w:r>
      <w:r>
        <w:t xml:space="preserve"> </w:t>
      </w:r>
      <w:r>
        <w:rPr>
          <w:rStyle w:val="VerbatimChar"/>
        </w:rPr>
        <w:t xml:space="preserve">2_arquitectura/adrs/adr-NNN_&lt;slug&gt;.md</w:t>
      </w:r>
      <w:r>
        <w:t xml:space="preserve"> </w:t>
      </w:r>
      <w:r>
        <w:t xml:space="preserve">(Markdown), numerados secuencial y monótonamente (NNN).</w:t>
      </w:r>
    </w:p>
    <w:p>
      <w:pPr>
        <w:pStyle w:val="Compact"/>
        <w:numPr>
          <w:ilvl w:val="0"/>
          <w:numId w:val="1003"/>
        </w:numPr>
      </w:pPr>
      <w:r>
        <w:t xml:space="preserve">Estructura mínima por ADR: Título, Contexto (fuerzas), Decisión, Estado, Consecuencias. Opcional: Alternativas, Historial de estado.</w:t>
      </w:r>
    </w:p>
    <w:p>
      <w:pPr>
        <w:pStyle w:val="Compact"/>
        <w:numPr>
          <w:ilvl w:val="0"/>
          <w:numId w:val="1003"/>
        </w:numPr>
      </w:pPr>
      <w:r>
        <w:t xml:space="preserve">Si una decisión es reemplazada, marcar el ADR como “Superseded by ADR-XXX” y conservar el histórico.</w:t>
      </w:r>
    </w:p>
    <w:bookmarkEnd w:id="21"/>
    <w:bookmarkStart w:id="22" w:name="alcance"/>
    <w:p>
      <w:pPr>
        <w:pStyle w:val="Heading2"/>
      </w:pPr>
      <w:r>
        <w:t xml:space="preserve">Alcance</w:t>
      </w:r>
    </w:p>
    <w:p>
      <w:pPr>
        <w:pStyle w:val="Compact"/>
        <w:numPr>
          <w:ilvl w:val="0"/>
          <w:numId w:val="1004"/>
        </w:numPr>
      </w:pPr>
      <w:r>
        <w:t xml:space="preserve">Aplica a decisiones que afecten estructura, características no funcionales, dependencias, interfaces o técnicas de construcción.</w:t>
      </w:r>
    </w:p>
    <w:p>
      <w:pPr>
        <w:pStyle w:val="Compact"/>
        <w:numPr>
          <w:ilvl w:val="0"/>
          <w:numId w:val="1004"/>
        </w:numPr>
      </w:pPr>
      <w:r>
        <w:t xml:space="preserve">Los ADRs se enlazan desde arc42 (sección 9) y desde secciones afectadas en</w:t>
      </w:r>
      <w:r>
        <w:t xml:space="preserve"> </w:t>
      </w:r>
      <w:r>
        <w:rPr>
          <w:rStyle w:val="VerbatimChar"/>
        </w:rPr>
        <w:t xml:space="preserve">3_especificacion_tecnica/*</w:t>
      </w:r>
      <w:r>
        <w:t xml:space="preserve">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5"/>
        </w:numPr>
      </w:pPr>
      <w:r>
        <w:t xml:space="preserve">(+) Trazabilidad de motivaciones y efectos; facilita onboarding y revisiones futuras.</w:t>
      </w:r>
    </w:p>
    <w:p>
      <w:pPr>
        <w:pStyle w:val="Compact"/>
        <w:numPr>
          <w:ilvl w:val="0"/>
          <w:numId w:val="1005"/>
        </w:numPr>
      </w:pPr>
      <w:r>
        <w:t xml:space="preserve">(+) Evita aceptación o reversión “a ciegas” de decisiones pasadas.</w:t>
      </w:r>
    </w:p>
    <w:p>
      <w:pPr>
        <w:pStyle w:val="Compact"/>
        <w:numPr>
          <w:ilvl w:val="0"/>
          <w:numId w:val="1005"/>
        </w:numPr>
      </w:pPr>
      <w:r>
        <w:t xml:space="preserve">(–) Requiere disciplina para mantener estado y enlaces al día.</w:t>
      </w:r>
    </w:p>
    <w:bookmarkEnd w:id="23"/>
    <w:bookmarkStart w:id="24" w:name="historial-de-estado"/>
    <w:p>
      <w:pPr>
        <w:pStyle w:val="Heading2"/>
      </w:pPr>
      <w:r>
        <w:t xml:space="preserve">Historial de estado</w:t>
      </w:r>
    </w:p>
    <w:p>
      <w:pPr>
        <w:pStyle w:val="Compact"/>
        <w:numPr>
          <w:ilvl w:val="0"/>
          <w:numId w:val="1006"/>
        </w:numPr>
      </w:pPr>
      <w:r>
        <w:t xml:space="preserve">2025-08-09: Proposed → Accepted (Javier Errazuriz)</w:t>
      </w:r>
    </w:p>
    <w:bookmarkEnd w:id="24"/>
    <w:bookmarkStart w:id="2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7"/>
        </w:numPr>
      </w:pPr>
      <w:r>
        <w:t xml:space="preserve">Michael Nygard, “Documenting Architecture Decisions”: https://cognitect.com/blog/2011/11/15/documenting-architecture-decisions</w:t>
      </w:r>
    </w:p>
    <w:bookmarkEnd w:id="25"/>
    <w:bookmarkEnd w:id="26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2025-08-12T11:50:45Z</dcterms:created>
  <dcterms:modified xsi:type="dcterms:W3CDTF">2025-08-12T11:50:45Z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