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8ac540518c628871a4a2d3c4400a980973cb49"/>
    <w:p>
      <w:pPr>
        <w:pStyle w:val="Heading1"/>
      </w:pPr>
      <w:r>
        <w:t xml:space="preserve">ADR-001: Uso de arc42 como marco y estructura de documentación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Se requiere organizar la documentación técnica de forma coherente, mantenible y comunicable para múltiples interesados.</w:t>
      </w:r>
    </w:p>
    <w:p>
      <w:pPr>
        <w:pStyle w:val="Compact"/>
        <w:numPr>
          <w:ilvl w:val="0"/>
          <w:numId w:val="1002"/>
        </w:numPr>
      </w:pPr>
      <w:r>
        <w:t xml:space="preserve">La especificación crece en amplitud (datos, normativa/SNA, seguridad, integraciones, operación, pruebas, performance) y profundidad (guías, políticas, decisiones).</w:t>
      </w:r>
    </w:p>
    <w:p>
      <w:pPr>
        <w:pStyle w:val="Compact"/>
        <w:numPr>
          <w:ilvl w:val="0"/>
          <w:numId w:val="1002"/>
        </w:numPr>
      </w:pPr>
      <w:r>
        <w:t xml:space="preserve">Fuerzas (drivers):</w:t>
      </w:r>
    </w:p>
    <w:p>
      <w:pPr>
        <w:pStyle w:val="Compact"/>
        <w:numPr>
          <w:ilvl w:val="1"/>
          <w:numId w:val="1003"/>
        </w:numPr>
      </w:pPr>
      <w:r>
        <w:t xml:space="preserve">Claridad y navegabilidad para stakeholders técnicos y de negocio.</w:t>
      </w:r>
    </w:p>
    <w:p>
      <w:pPr>
        <w:pStyle w:val="Compact"/>
        <w:numPr>
          <w:ilvl w:val="1"/>
          <w:numId w:val="1003"/>
        </w:numPr>
      </w:pPr>
      <w:r>
        <w:t xml:space="preserve">Trazabilidad entre decisiones (ADRs), vistas de arquitectura y especificación detallada.</w:t>
      </w:r>
    </w:p>
    <w:p>
      <w:pPr>
        <w:pStyle w:val="Compact"/>
        <w:numPr>
          <w:ilvl w:val="1"/>
          <w:numId w:val="1003"/>
        </w:numPr>
      </w:pPr>
      <w:r>
        <w:t xml:space="preserve">Alineamiento con prácticas reconocidas de documentación.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4"/>
        </w:numPr>
      </w:pPr>
      <w:r>
        <w:t xml:space="preserve">Adoptar arc42 como marco de documentación de arquitectura.</w:t>
      </w:r>
    </w:p>
    <w:p>
      <w:pPr>
        <w:pStyle w:val="Compact"/>
        <w:numPr>
          <w:ilvl w:val="0"/>
          <w:numId w:val="1004"/>
        </w:numPr>
      </w:pPr>
      <w:r>
        <w:t xml:space="preserve">Implementar el directorio</w:t>
      </w:r>
      <w:r>
        <w:t xml:space="preserve"> </w:t>
      </w:r>
      <w:r>
        <w:rPr>
          <w:rStyle w:val="VerbatimChar"/>
        </w:rPr>
        <w:t xml:space="preserve">2_arquitectura/</w:t>
      </w:r>
      <w:r>
        <w:t xml:space="preserve"> </w:t>
      </w:r>
      <w:r>
        <w:t xml:space="preserve">con las 12 secciones oficiales (01–12), numeradas y enlazadas desde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3_especificacion_tecnica/*</w:t>
      </w:r>
      <w:r>
        <w:t xml:space="preserve"> </w:t>
      </w:r>
      <w:r>
        <w:t xml:space="preserve">como repositorio autoritativo de vistas profundas por tema.</w:t>
      </w:r>
    </w:p>
    <w:p>
      <w:pPr>
        <w:pStyle w:val="Compact"/>
        <w:numPr>
          <w:ilvl w:val="0"/>
          <w:numId w:val="1004"/>
        </w:numPr>
      </w:pPr>
      <w:r>
        <w:t xml:space="preserve">Usar la sección 5 (Building Blocks) como “portal” hacia dichas vistas autoritativas.</w:t>
      </w:r>
    </w:p>
    <w:bookmarkEnd w:id="21"/>
    <w:bookmarkStart w:id="22" w:name="alcance-de-la-implementación"/>
    <w:p>
      <w:pPr>
        <w:pStyle w:val="Heading2"/>
      </w:pPr>
      <w:r>
        <w:t xml:space="preserve">Alcance de la implementación</w:t>
      </w:r>
    </w:p>
    <w:p>
      <w:pPr>
        <w:pStyle w:val="Compact"/>
        <w:numPr>
          <w:ilvl w:val="0"/>
          <w:numId w:val="1005"/>
        </w:numPr>
      </w:pPr>
      <w:r>
        <w:t xml:space="preserve">Creación de archivos base:</w:t>
      </w:r>
      <w:r>
        <w:t xml:space="preserve"> </w:t>
      </w:r>
      <w:r>
        <w:rPr>
          <w:rStyle w:val="VerbatimChar"/>
        </w:rPr>
        <w:t xml:space="preserve">01_introduccion_objetivos.md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12_glosario.md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Índice 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 los 12 apartados y enlaces a</w:t>
      </w:r>
      <w:r>
        <w:t xml:space="preserve"> </w:t>
      </w:r>
      <w:r>
        <w:rPr>
          <w:rStyle w:val="VerbatimChar"/>
        </w:rPr>
        <w:t xml:space="preserve">3_especificacion_tecnica/*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Migración del antiguo “CEN” a Building Blocks + vistas autoritativas.</w:t>
      </w:r>
    </w:p>
    <w:bookmarkEnd w:id="22"/>
    <w:bookmarkStart w:id="23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6"/>
        </w:numPr>
      </w:pPr>
      <w:r>
        <w:t xml:space="preserve">Estructura ad-hoc por carpetas temáticas sin marco</w:t>
      </w:r>
    </w:p>
    <w:p>
      <w:pPr>
        <w:pStyle w:val="Compact"/>
        <w:numPr>
          <w:ilvl w:val="0"/>
          <w:numId w:val="1007"/>
        </w:numPr>
      </w:pPr>
      <w:r>
        <w:t xml:space="preserve">Pros: rapidez inicial; flexibilidad total.</w:t>
      </w:r>
    </w:p>
    <w:p>
      <w:pPr>
        <w:pStyle w:val="Compact"/>
        <w:numPr>
          <w:ilvl w:val="0"/>
          <w:numId w:val="1007"/>
        </w:numPr>
      </w:pPr>
      <w:r>
        <w:t xml:space="preserve">Contras: deriva y duplicidad; difícil onboarding; nula estandarización.</w:t>
      </w:r>
    </w:p>
    <w:p>
      <w:pPr>
        <w:pStyle w:val="Compact"/>
        <w:numPr>
          <w:ilvl w:val="0"/>
          <w:numId w:val="1008"/>
        </w:numPr>
      </w:pPr>
      <w:r>
        <w:t xml:space="preserve">4+1/C4 únicamente (sin plantilla de calidad/proceso)</w:t>
      </w:r>
    </w:p>
    <w:p>
      <w:pPr>
        <w:pStyle w:val="Compact"/>
        <w:numPr>
          <w:ilvl w:val="0"/>
          <w:numId w:val="1009"/>
        </w:numPr>
      </w:pPr>
      <w:r>
        <w:t xml:space="preserve">Pros: foco visual en arquitectura; comunicación sencilla.</w:t>
      </w:r>
    </w:p>
    <w:p>
      <w:pPr>
        <w:pStyle w:val="Compact"/>
        <w:numPr>
          <w:ilvl w:val="0"/>
          <w:numId w:val="1009"/>
        </w:numPr>
      </w:pPr>
      <w:r>
        <w:t xml:space="preserve">Contras: no cubre requisitos de calidad, riesgos, decisiones ni gobernanza documental de forma integral.</w:t>
      </w:r>
    </w:p>
    <w:bookmarkEnd w:id="23"/>
    <w:bookmarkStart w:id="24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10"/>
        </w:numPr>
      </w:pPr>
      <w:r>
        <w:t xml:space="preserve">Positivas</w:t>
      </w:r>
    </w:p>
    <w:p>
      <w:pPr>
        <w:pStyle w:val="Compact"/>
        <w:numPr>
          <w:ilvl w:val="1"/>
          <w:numId w:val="1011"/>
        </w:numPr>
      </w:pPr>
      <w:r>
        <w:t xml:space="preserve">Consistencia y trazabilidad entre decisiones y vistas.</w:t>
      </w:r>
    </w:p>
    <w:p>
      <w:pPr>
        <w:pStyle w:val="Compact"/>
        <w:numPr>
          <w:ilvl w:val="1"/>
          <w:numId w:val="1011"/>
        </w:numPr>
      </w:pPr>
      <w:r>
        <w:t xml:space="preserve">Onboarding más fácil; referencias cruzadas claras.</w:t>
      </w:r>
    </w:p>
    <w:p>
      <w:pPr>
        <w:pStyle w:val="Compact"/>
        <w:numPr>
          <w:ilvl w:val="1"/>
          <w:numId w:val="1011"/>
        </w:numPr>
      </w:pPr>
      <w:r>
        <w:t xml:space="preserve">Facilidad para auditar y evolucionar documentación.</w:t>
      </w:r>
    </w:p>
    <w:p>
      <w:pPr>
        <w:pStyle w:val="Compact"/>
        <w:numPr>
          <w:ilvl w:val="0"/>
          <w:numId w:val="1010"/>
        </w:numPr>
      </w:pPr>
      <w:r>
        <w:t xml:space="preserve">Negativas</w:t>
      </w:r>
    </w:p>
    <w:p>
      <w:pPr>
        <w:pStyle w:val="Compact"/>
        <w:numPr>
          <w:ilvl w:val="1"/>
          <w:numId w:val="1012"/>
        </w:numPr>
      </w:pPr>
      <w:r>
        <w:t xml:space="preserve">Disciplina para mantener numeración y enlaces.</w:t>
      </w:r>
    </w:p>
    <w:p>
      <w:pPr>
        <w:pStyle w:val="Compact"/>
        <w:numPr>
          <w:ilvl w:val="1"/>
          <w:numId w:val="1012"/>
        </w:numPr>
      </w:pPr>
      <w:r>
        <w:t xml:space="preserve">Overhead inicial de estructura y convenciones.</w:t>
      </w:r>
    </w:p>
    <w:bookmarkEnd w:id="24"/>
    <w:bookmarkStart w:id="25" w:name="convenciones-y-estilo"/>
    <w:p>
      <w:pPr>
        <w:pStyle w:val="Heading2"/>
      </w:pPr>
      <w:r>
        <w:t xml:space="preserve">Convenciones y estilo</w:t>
      </w:r>
    </w:p>
    <w:p>
      <w:pPr>
        <w:pStyle w:val="Compact"/>
        <w:numPr>
          <w:ilvl w:val="0"/>
          <w:numId w:val="1013"/>
        </w:numPr>
      </w:pPr>
      <w:r>
        <w:t xml:space="preserve">Nombrado:</w:t>
      </w:r>
      <w:r>
        <w:t xml:space="preserve"> </w:t>
      </w:r>
      <w:r>
        <w:rPr>
          <w:rStyle w:val="VerbatimChar"/>
        </w:rPr>
        <w:t xml:space="preserve">NN_nombre.md</w:t>
      </w:r>
      <w:r>
        <w:t xml:space="preserve"> </w:t>
      </w:r>
      <w:r>
        <w:t xml:space="preserve">(NN = 01..12) según arc42.</w:t>
      </w:r>
    </w:p>
    <w:p>
      <w:pPr>
        <w:pStyle w:val="Compact"/>
        <w:numPr>
          <w:ilvl w:val="0"/>
          <w:numId w:val="1013"/>
        </w:numPr>
      </w:pPr>
      <w:r>
        <w:t xml:space="preserve">Idioma: español; títulos consistentes con la plantilla arc42.</w:t>
      </w:r>
    </w:p>
    <w:p>
      <w:pPr>
        <w:pStyle w:val="Compact"/>
        <w:numPr>
          <w:ilvl w:val="0"/>
          <w:numId w:val="1013"/>
        </w:numPr>
      </w:pPr>
      <w:r>
        <w:t xml:space="preserve">Enlaces relativos preferidos dentro del repo.</w:t>
      </w:r>
    </w:p>
    <w:p>
      <w:pPr>
        <w:pStyle w:val="Compact"/>
        <w:numPr>
          <w:ilvl w:val="0"/>
          <w:numId w:val="1013"/>
        </w:numPr>
      </w:pPr>
      <w:r>
        <w:t xml:space="preserve">Política de numeración/ubicación de ADRs: `2_arquitectura/adrs/adr-NNN_</w:t>
      </w:r>
      <w:r>
        <w:t xml:space="preserve">.md; numeración secuencial y monótona; no reutilizar números; marcar “Superseded by ADR-XXX” cuando corresponda (ver ADR-000).</w:t>
      </w:r>
    </w:p>
    <w:bookmarkEnd w:id="25"/>
    <w:bookmarkStart w:id="26" w:name="flujo-de-contribución"/>
    <w:p>
      <w:pPr>
        <w:pStyle w:val="Heading2"/>
      </w:pPr>
      <w:r>
        <w:t xml:space="preserve">Flujo de contribución</w:t>
      </w:r>
    </w:p>
    <w:p>
      <w:pPr>
        <w:pStyle w:val="Compact"/>
        <w:numPr>
          <w:ilvl w:val="0"/>
          <w:numId w:val="1014"/>
        </w:numPr>
      </w:pPr>
      <w:r>
        <w:t xml:space="preserve">Nuevas decisiones: ADRs en</w:t>
      </w:r>
      <w:r>
        <w:t xml:space="preserve"> </w:t>
      </w:r>
      <w:r>
        <w:rPr>
          <w:rStyle w:val="VerbatimChar"/>
        </w:rPr>
        <w:t xml:space="preserve">2_arquitectura/adrs/</w:t>
      </w:r>
      <w:r>
        <w:t xml:space="preserve"> </w:t>
      </w:r>
      <w:r>
        <w:t xml:space="preserve">y referencia en sección 9.</w:t>
      </w:r>
    </w:p>
    <w:p>
      <w:pPr>
        <w:pStyle w:val="Compact"/>
        <w:numPr>
          <w:ilvl w:val="0"/>
          <w:numId w:val="1014"/>
        </w:numPr>
      </w:pPr>
      <w:r>
        <w:t xml:space="preserve">Cambios sustantivos: PR con revisión técnica; actualizar enlaces 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y Building Blocks.</w:t>
      </w:r>
    </w:p>
    <w:p>
      <w:pPr>
        <w:pStyle w:val="Compact"/>
        <w:numPr>
          <w:ilvl w:val="0"/>
          <w:numId w:val="1014"/>
        </w:numPr>
      </w:pPr>
      <w:r>
        <w:t xml:space="preserve">Etiquetas sugeridas de commit/PR:</w:t>
      </w:r>
      <w:r>
        <w:t xml:space="preserve"> </w:t>
      </w:r>
      <w:r>
        <w:rPr>
          <w:rStyle w:val="VerbatimChar"/>
        </w:rPr>
        <w:t xml:space="preserve">docs(arc42)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docs(datos)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docs(eventos-auditoria)</w:t>
      </w:r>
      <w:r>
        <w:t xml:space="preserve">.</w:t>
      </w:r>
    </w:p>
    <w:bookmarkEnd w:id="26"/>
    <w:bookmarkStart w:id="27" w:name="historial-de-estado"/>
    <w:p>
      <w:pPr>
        <w:pStyle w:val="Heading2"/>
      </w:pPr>
      <w:r>
        <w:t xml:space="preserve">Historial de estado</w:t>
      </w:r>
    </w:p>
    <w:p>
      <w:pPr>
        <w:pStyle w:val="Compact"/>
        <w:numPr>
          <w:ilvl w:val="0"/>
          <w:numId w:val="1015"/>
        </w:numPr>
      </w:pPr>
      <w:r>
        <w:t xml:space="preserve">2025-08-09: Proposed → Accepted (Javier Errazuriz)</w:t>
      </w:r>
    </w:p>
    <w:bookmarkEnd w:id="27"/>
    <w:bookmarkStart w:id="28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6"/>
        </w:numPr>
      </w:pPr>
      <w:r>
        <w:t xml:space="preserve">ADR-000: Adopción de ADRs (Nygard):</w:t>
      </w:r>
      <w:r>
        <w:t xml:space="preserve"> </w:t>
      </w:r>
      <w:r>
        <w:rPr>
          <w:rStyle w:val="VerbatimChar"/>
        </w:rPr>
        <w:t xml:space="preserve">2_arquitectura/adrs/adr_000_adoptar_adr_nygard.md</w:t>
      </w:r>
    </w:p>
    <w:p>
      <w:pPr>
        <w:pStyle w:val="Compact"/>
        <w:numPr>
          <w:ilvl w:val="0"/>
          <w:numId w:val="1016"/>
        </w:numPr>
      </w:pPr>
      <w:r>
        <w:t xml:space="preserve">arc42 Template Overview: https://r.jina.ai/arc42.org/overview</w:t>
      </w:r>
    </w:p>
    <w:p>
      <w:pPr>
        <w:pStyle w:val="Compact"/>
        <w:numPr>
          <w:ilvl w:val="0"/>
          <w:numId w:val="1016"/>
        </w:numPr>
      </w:pPr>
      <w:r>
        <w:t xml:space="preserve">Documenting Architecture Decisions (Michael Nygard): https://cognitect.com/blog/2011/11/15/documenting-architecture-decisions</w:t>
      </w:r>
    </w:p>
    <w:bookmarkEnd w:id="28"/>
    <w:bookmarkEnd w:id="2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