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d596ce912e3c335d44db927fbe10a9c9f309aa"/>
    <w:p>
      <w:pPr>
        <w:pStyle w:val="Heading1"/>
      </w:pPr>
      <w:r>
        <w:t xml:space="preserve">ADR-002: CRUD + eventos + auditoría (sin replays deterministas)</w:t>
      </w:r>
    </w:p>
    <w:p>
      <w:pPr>
        <w:pStyle w:val="Compact"/>
        <w:numPr>
          <w:ilvl w:val="0"/>
          <w:numId w:val="1001"/>
        </w:numPr>
      </w:pPr>
      <w:r>
        <w:t xml:space="preserve">Estado: Aceptada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No se requiere replay determinista del estado. Se exige auditabilidad, trazabilidad de decisiones y capacidad de integración por eventos.</w:t>
      </w:r>
    </w:p>
    <w:p>
      <w:pPr>
        <w:pStyle w:val="Compact"/>
        <w:numPr>
          <w:ilvl w:val="0"/>
          <w:numId w:val="1002"/>
        </w:numPr>
      </w:pPr>
      <w:r>
        <w:t xml:space="preserve">Fuerzas (drivers):</w:t>
      </w:r>
    </w:p>
    <w:p>
      <w:pPr>
        <w:pStyle w:val="Compact"/>
        <w:numPr>
          <w:ilvl w:val="1"/>
          <w:numId w:val="1003"/>
        </w:numPr>
      </w:pPr>
      <w:r>
        <w:t xml:space="preserve">Mantener simplicidad operativa (evitar complejidad de event stores y proyecciones).</w:t>
      </w:r>
    </w:p>
    <w:p>
      <w:pPr>
        <w:pStyle w:val="Compact"/>
        <w:numPr>
          <w:ilvl w:val="1"/>
          <w:numId w:val="1003"/>
        </w:numPr>
      </w:pPr>
      <w:r>
        <w:t xml:space="preserve">Asegurar idempotencia y correlación en integraciones.</w:t>
      </w:r>
    </w:p>
    <w:p>
      <w:pPr>
        <w:pStyle w:val="Compact"/>
        <w:numPr>
          <w:ilvl w:val="1"/>
          <w:numId w:val="1003"/>
        </w:numPr>
      </w:pPr>
      <w:r>
        <w:t xml:space="preserve">Conservar reproducibilidad normativa a nivel de registro/evento (referencia al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) sin necesidad de replays.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4"/>
        </w:numPr>
      </w:pPr>
      <w:r>
        <w:t xml:space="preserve">Adoptar CRUD como system-of-record.</w:t>
      </w:r>
    </w:p>
    <w:p>
      <w:pPr>
        <w:pStyle w:val="Compact"/>
        <w:numPr>
          <w:ilvl w:val="0"/>
          <w:numId w:val="1004"/>
        </w:numPr>
      </w:pPr>
      <w:r>
        <w:t xml:space="preserve">Publicar DomainEvents mediante outbox con idempotencia.</w:t>
      </w:r>
    </w:p>
    <w:p>
      <w:pPr>
        <w:pStyle w:val="Compact"/>
        <w:numPr>
          <w:ilvl w:val="0"/>
          <w:numId w:val="1004"/>
        </w:numPr>
      </w:pPr>
      <w:r>
        <w:t xml:space="preserve">Implementar auditoría técnica (AppAudit) y/o CDC para cambios de datos.</w:t>
      </w:r>
    </w:p>
    <w:p>
      <w:pPr>
        <w:pStyle w:val="Compact"/>
        <w:numPr>
          <w:ilvl w:val="0"/>
          <w:numId w:val="1004"/>
        </w:numPr>
      </w:pPr>
      <w:r>
        <w:t xml:space="preserve">Referenciar el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en registros/eventos, sin fijarlo por-evento para replays deterministas.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5"/>
        </w:numPr>
      </w:pPr>
      <w:r>
        <w:t xml:space="preserve">ES + proyecciones como fuente canónica.</w:t>
      </w:r>
    </w:p>
    <w:p>
      <w:pPr>
        <w:pStyle w:val="Compact"/>
        <w:numPr>
          <w:ilvl w:val="0"/>
          <w:numId w:val="1005"/>
        </w:numPr>
      </w:pPr>
      <w:r>
        <w:t xml:space="preserve">CDC/bitemporalidad sin eventos de negocio.</w:t>
      </w:r>
    </w:p>
    <w:p>
      <w:pPr>
        <w:pStyle w:val="Compact"/>
        <w:numPr>
          <w:ilvl w:val="0"/>
          <w:numId w:val="1005"/>
        </w:numPr>
      </w:pPr>
      <w:r>
        <w:t xml:space="preserve">Command-sourcing.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6"/>
        </w:numPr>
      </w:pPr>
      <w:r>
        <w:t xml:space="preserve">(+) Simplicidad operativa; auditabilidad clara; integración por eventos.</w:t>
      </w:r>
    </w:p>
    <w:p>
      <w:pPr>
        <w:pStyle w:val="Compact"/>
        <w:numPr>
          <w:ilvl w:val="0"/>
          <w:numId w:val="1006"/>
        </w:numPr>
      </w:pPr>
      <w:r>
        <w:t xml:space="preserve">(–) Esfuerzo en correlación y gobierno de esquemas de eventos; sin replays deterministas.</w:t>
      </w:r>
    </w:p>
    <w:bookmarkEnd w:id="23"/>
    <w:bookmarkStart w:id="24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07"/>
        </w:numPr>
      </w:pPr>
      <w:r>
        <w:t xml:space="preserve">Especificar contratos de DomainEvents y AppAudit/CDC (</w:t>
      </w:r>
      <w:r>
        <w:rPr>
          <w:rStyle w:val="VerbatimChar"/>
        </w:rPr>
        <w:t xml:space="preserve">3_especificacion_tecnica/eventos-auditoria/*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Documentar publicador Outbox y operar con idempotencia (</w:t>
      </w:r>
      <w:r>
        <w:rPr>
          <w:rStyle w:val="VerbatimChar"/>
        </w:rPr>
        <w:t xml:space="preserve">3_especificacion_tecnica/eventos-auditoria/03_outbox_publicador.md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Implementar outbox + claves de idempotencia.</w:t>
      </w:r>
    </w:p>
    <w:p>
      <w:pPr>
        <w:pStyle w:val="Compact"/>
        <w:numPr>
          <w:ilvl w:val="0"/>
          <w:numId w:val="1007"/>
        </w:numPr>
      </w:pPr>
      <w:r>
        <w:t xml:space="preserve">Actualizar documentación arc42 (hecho) y MDLO donde corresponda.</w:t>
      </w:r>
    </w:p>
    <w:bookmarkEnd w:id="24"/>
    <w:bookmarkStart w:id="25" w:name="historial-de-estado"/>
    <w:p>
      <w:pPr>
        <w:pStyle w:val="Heading2"/>
      </w:pPr>
      <w:r>
        <w:t xml:space="preserve">Historial de estado</w:t>
      </w:r>
    </w:p>
    <w:p>
      <w:pPr>
        <w:pStyle w:val="Compact"/>
        <w:numPr>
          <w:ilvl w:val="0"/>
          <w:numId w:val="1008"/>
        </w:numPr>
      </w:pPr>
      <w:r>
        <w:t xml:space="preserve">2025-08-09: Proposed → Accepted (Javier Errazuriz)</w:t>
      </w:r>
    </w:p>
    <w:bookmarkEnd w:id="25"/>
    <w:bookmarkStart w:id="2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9"/>
        </w:numPr>
      </w:pPr>
      <w:r>
        <w:t xml:space="preserve">ADR-000: Adopción de ADRs (Nygard):</w:t>
      </w:r>
      <w:r>
        <w:t xml:space="preserve"> </w:t>
      </w:r>
      <w:r>
        <w:rPr>
          <w:rStyle w:val="VerbatimChar"/>
        </w:rPr>
        <w:t xml:space="preserve">2_arquitectura/adrs/adr_000_adoptar_adr_nygard.md</w:t>
      </w:r>
    </w:p>
    <w:p>
      <w:pPr>
        <w:pStyle w:val="Compact"/>
        <w:numPr>
          <w:ilvl w:val="0"/>
          <w:numId w:val="1009"/>
        </w:numPr>
      </w:pPr>
      <w:r>
        <w:t xml:space="preserve">Documenting Architecture Decisions (Michael Nygard): https://cognitect.com/blog/2011/11/15/documenting-architecture-decisions</w:t>
      </w:r>
    </w:p>
    <w:p>
      <w:pPr>
        <w:pStyle w:val="Compact"/>
        <w:numPr>
          <w:ilvl w:val="0"/>
          <w:numId w:val="1009"/>
        </w:numPr>
      </w:pPr>
      <w:r>
        <w:t xml:space="preserve">Especificación de Eventos y Auditoría:</w:t>
      </w:r>
      <w:r>
        <w:t xml:space="preserve"> </w:t>
      </w:r>
      <w:r>
        <w:rPr>
          <w:rStyle w:val="VerbatimChar"/>
        </w:rPr>
        <w:t xml:space="preserve">3_especificacion_tecnica/eventos-auditoria/</w:t>
      </w:r>
    </w:p>
    <w:bookmarkEnd w:id="26"/>
    <w:bookmarkEnd w:id="27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2025-08-12T11:50:45Z</dcterms:created>
  <dcterms:modified xsi:type="dcterms:W3CDTF">2025-08-12T11:50:45Z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