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08dcff5b29c5d3481117948d831cbcc061d41"/>
    <w:p>
      <w:pPr>
        <w:pStyle w:val="Heading1"/>
      </w:pPr>
      <w:r>
        <w:t xml:space="preserve">ADR-003: Gobierno del Marco Normativo y Resolver de Versiones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La normativa que regula prestaciones evoluciona de forma discontinua. Necesitamos reproducibilidad exacta de cálculos históricos y seguridad en cambios.</w:t>
      </w:r>
    </w:p>
    <w:p>
      <w:pPr>
        <w:pStyle w:val="Compact"/>
        <w:numPr>
          <w:ilvl w:val="0"/>
          <w:numId w:val="1002"/>
        </w:numPr>
      </w:pPr>
      <w:r>
        <w:t xml:space="preserve">MDLO v1 define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como la composición de</w:t>
      </w:r>
      <w:r>
        <w:t xml:space="preserve"> </w:t>
      </w:r>
      <w:r>
        <w:rPr>
          <w:rStyle w:val="VerbatimChar"/>
        </w:rPr>
        <w:t xml:space="preserve">ParametrosNormativos (params-vX.Y.Z)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DirectivaDeEjecucion (logic-vX.Y.Z)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Vigencia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requiere un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que, dada una fecha o ID de marco, ensamble el contexto de ejecución correcto y evidencie su uso.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Adoptar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como unidad de gobierno normativo con:</w:t>
      </w:r>
    </w:p>
    <w:p>
      <w:pPr>
        <w:pStyle w:val="Compact"/>
        <w:numPr>
          <w:ilvl w:val="1"/>
          <w:numId w:val="1004"/>
        </w:numPr>
      </w:pPr>
      <w:r>
        <w:t xml:space="preserve">Repositorio de parámetros versionado (SemVer) e inmutable.</w:t>
      </w:r>
    </w:p>
    <w:p>
      <w:pPr>
        <w:pStyle w:val="Compact"/>
        <w:numPr>
          <w:ilvl w:val="1"/>
          <w:numId w:val="1004"/>
        </w:numPr>
      </w:pPr>
      <w:r>
        <w:t xml:space="preserve">Repositorio de directivas de ejecución (mapa PDN/RDN→versión) versionado (SemVer) e inmutable.</w:t>
      </w:r>
    </w:p>
    <w:p>
      <w:pPr>
        <w:pStyle w:val="Compact"/>
        <w:numPr>
          <w:ilvl w:val="1"/>
          <w:numId w:val="1004"/>
        </w:numPr>
      </w:pPr>
      <w:r>
        <w:t xml:space="preserve">Registro de marcos con vigencias sin solapes y estados (propuesto/activo/retirado).</w:t>
      </w:r>
    </w:p>
    <w:p>
      <w:pPr>
        <w:pStyle w:val="Compact"/>
        <w:numPr>
          <w:ilvl w:val="0"/>
          <w:numId w:val="1003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con API pública</w:t>
      </w:r>
      <w:r>
        <w:t xml:space="preserve"> </w:t>
      </w:r>
      <w:r>
        <w:rPr>
          <w:rStyle w:val="VerbatimChar"/>
        </w:rPr>
        <w:t xml:space="preserve">resolveByDate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resolveById</w:t>
      </w:r>
      <w:r>
        <w:t xml:space="preserve">, registrando evidencia del marco aplicado por transacción/liquidación.</w:t>
      </w:r>
    </w:p>
    <w:p>
      <w:pPr>
        <w:pStyle w:val="Compact"/>
        <w:numPr>
          <w:ilvl w:val="0"/>
          <w:numId w:val="1003"/>
        </w:numPr>
      </w:pPr>
      <w:r>
        <w:t xml:space="preserve">Validar en CI/CD matrices de versión y ausencia de solapes antes de activar un marco.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5"/>
        </w:numPr>
      </w:pPr>
      <w:r>
        <w:t xml:space="preserve">Fijar parámetros/rules por registro (aumenta cardinalidad y complica operación).</w:t>
      </w:r>
    </w:p>
    <w:p>
      <w:pPr>
        <w:pStyle w:val="Compact"/>
        <w:numPr>
          <w:ilvl w:val="0"/>
          <w:numId w:val="1005"/>
        </w:numPr>
      </w:pPr>
      <w:r>
        <w:t xml:space="preserve">Asumir “último vigente” en huecos de vigencia (riesgo regulatorio; no trazable).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6"/>
        </w:numPr>
      </w:pPr>
      <w:r>
        <w:t xml:space="preserve">(+) Reproducibilidad y gobernanza claras; activación controlada; auditoría robusta.</w:t>
      </w:r>
    </w:p>
    <w:p>
      <w:pPr>
        <w:pStyle w:val="Compact"/>
        <w:numPr>
          <w:ilvl w:val="0"/>
          <w:numId w:val="1006"/>
        </w:numPr>
      </w:pPr>
      <w:r>
        <w:t xml:space="preserve">(–) Overhead en gestión de versiones y matrices; necesidad de tooling.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7"/>
        </w:numPr>
      </w:pPr>
      <w:r>
        <w:t xml:space="preserve">Especificar esquemas de repositorios y contratos de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(ver arc42 §8 y MDLO v1 cap. 12).</w:t>
      </w:r>
    </w:p>
    <w:p>
      <w:pPr>
        <w:pStyle w:val="Compact"/>
        <w:numPr>
          <w:ilvl w:val="0"/>
          <w:numId w:val="1007"/>
        </w:numPr>
      </w:pPr>
      <w:r>
        <w:t xml:space="preserve">Integrar validaciones de matrices en pipeline de publicación de marcos.</w:t>
      </w:r>
    </w:p>
    <w:bookmarkEnd w:id="24"/>
    <w:bookmarkStart w:id="25" w:name="preguntas-abiertas-para-validación"/>
    <w:p>
      <w:pPr>
        <w:pStyle w:val="Heading2"/>
      </w:pPr>
      <w:r>
        <w:t xml:space="preserve">Preguntas abiertas (para validación)</w:t>
      </w:r>
    </w:p>
    <w:p>
      <w:pPr>
        <w:pStyle w:val="Compact"/>
        <w:numPr>
          <w:ilvl w:val="0"/>
          <w:numId w:val="1008"/>
        </w:numPr>
      </w:pPr>
      <w:r>
        <w:t xml:space="preserve">¿Cuáles son los estados formales del ciclo de vida de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(propuesto, validado, activo, retirado, superseded)?</w:t>
      </w:r>
    </w:p>
    <w:p>
      <w:pPr>
        <w:pStyle w:val="Compact"/>
        <w:numPr>
          <w:ilvl w:val="0"/>
          <w:numId w:val="1008"/>
        </w:numPr>
      </w:pPr>
      <w:r>
        <w:t xml:space="preserve">¿Se requiere fallback explícito para huecos de vigencia (por política), o se debe rechazar la operación con error controlado?</w:t>
      </w:r>
    </w:p>
    <w:p>
      <w:pPr>
        <w:pStyle w:val="Compact"/>
        <w:numPr>
          <w:ilvl w:val="0"/>
          <w:numId w:val="1008"/>
        </w:numPr>
      </w:pPr>
      <w:r>
        <w:t xml:space="preserve">¿Qué artefactos constituyen la “evidencia mínima” por transacción/liquidación: IDs de parámetros/directiva, hash del conjunto, firma temporal?</w:t>
      </w:r>
    </w:p>
    <w:p>
      <w:pPr>
        <w:pStyle w:val="Compact"/>
        <w:numPr>
          <w:ilvl w:val="0"/>
          <w:numId w:val="1008"/>
        </w:numPr>
      </w:pPr>
      <w:r>
        <w:t xml:space="preserve">¿Se necesita auditoría de “quién activó” un marco y bajo qué aprobación (VERF)?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9"/>
        </w:numPr>
      </w:pPr>
      <w:r>
        <w:t xml:space="preserve">MDLO v1:</w:t>
      </w:r>
      <w:r>
        <w:t xml:space="preserve"> </w:t>
      </w:r>
      <w:r>
        <w:rPr>
          <w:rStyle w:val="VerbatimChar"/>
        </w:rPr>
        <w:t xml:space="preserve">1_dominio/12_Versionamiento_Normativo_y_Resolucion.md</w:t>
      </w:r>
    </w:p>
    <w:p>
      <w:pPr>
        <w:pStyle w:val="Compact"/>
        <w:numPr>
          <w:ilvl w:val="0"/>
          <w:numId w:val="1009"/>
        </w:numPr>
      </w:pPr>
      <w:r>
        <w:t xml:space="preserve">arc42: §4, §5, §8, §10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