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74deb22b130375ee73c237c908434f3529740d"/>
    <w:p>
      <w:pPr>
        <w:pStyle w:val="Heading1"/>
      </w:pPr>
      <w:r>
        <w:t xml:space="preserve">ADR-004: Catálogo de Conceptos de Liquidación (CCL) como fuente única de verdad</w:t>
      </w:r>
    </w:p>
    <w:p>
      <w:pPr>
        <w:pStyle w:val="Compact"/>
        <w:numPr>
          <w:ilvl w:val="0"/>
          <w:numId w:val="1001"/>
        </w:numPr>
      </w:pPr>
      <w:r>
        <w:t xml:space="preserve">Estado: Propuesta</w:t>
      </w:r>
    </w:p>
    <w:p>
      <w:pPr>
        <w:pStyle w:val="Compact"/>
        <w:numPr>
          <w:ilvl w:val="0"/>
          <w:numId w:val="1001"/>
        </w:numPr>
      </w:pPr>
      <w:r>
        <w:t xml:space="preserve">Fecha: 2025-08-09</w:t>
      </w:r>
    </w:p>
    <w:p>
      <w:pPr>
        <w:pStyle w:val="Compact"/>
        <w:numPr>
          <w:ilvl w:val="0"/>
          <w:numId w:val="1001"/>
        </w:numPr>
      </w:pPr>
      <w:r>
        <w:t xml:space="preserve">Deciders: Javier Errazuriz</w:t>
      </w:r>
    </w:p>
    <w:p>
      <w:pPr>
        <w:pStyle w:val="Compact"/>
        <w:numPr>
          <w:ilvl w:val="0"/>
          <w:numId w:val="1001"/>
        </w:numPr>
      </w:pPr>
      <w:r>
        <w:t xml:space="preserve">Authors: Javier Errazuriz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Compact"/>
        <w:numPr>
          <w:ilvl w:val="0"/>
          <w:numId w:val="1002"/>
        </w:numPr>
      </w:pPr>
      <w:r>
        <w:t xml:space="preserve">MDLO v1 define un Catálogo de Conceptos de Liquidación (CCL) que estandariza haberes y descuentos con códigos, descripciones, regla RDN asociada y fundamento normativo.</w:t>
      </w:r>
    </w:p>
    <w:p>
      <w:pPr>
        <w:pStyle w:val="Compact"/>
        <w:numPr>
          <w:ilvl w:val="0"/>
          <w:numId w:val="1002"/>
        </w:numPr>
      </w:pPr>
      <w:r>
        <w:t xml:space="preserve">Se requiere consistencia entre cálculo, reportería y contabilidad, y trazabilidad transparente a la normativa.</w:t>
      </w:r>
    </w:p>
    <w:bookmarkEnd w:id="20"/>
    <w:bookmarkStart w:id="21" w:name="decisión"/>
    <w:p>
      <w:pPr>
        <w:pStyle w:val="Heading2"/>
      </w:pPr>
      <w:r>
        <w:t xml:space="preserve">Decisión</w:t>
      </w:r>
    </w:p>
    <w:p>
      <w:pPr>
        <w:pStyle w:val="Compact"/>
        <w:numPr>
          <w:ilvl w:val="0"/>
          <w:numId w:val="1003"/>
        </w:numPr>
      </w:pPr>
      <w:r>
        <w:t xml:space="preserve">El CCL será la fuente única de verdad para cualquier</w:t>
      </w:r>
      <w:r>
        <w:t xml:space="preserve"> </w:t>
      </w:r>
      <w:r>
        <w:rPr>
          <w:rStyle w:val="VerbatimChar"/>
        </w:rPr>
        <w:t xml:space="preserve">ConceptoLiquidacion</w:t>
      </w:r>
      <w:r>
        <w:t xml:space="preserve"> </w:t>
      </w:r>
      <w:r>
        <w:t xml:space="preserve">en el sistema.</w:t>
      </w:r>
    </w:p>
    <w:p>
      <w:pPr>
        <w:pStyle w:val="Compact"/>
        <w:numPr>
          <w:ilvl w:val="0"/>
          <w:numId w:val="1003"/>
        </w:numPr>
      </w:pPr>
      <w:r>
        <w:t xml:space="preserve">Cada línea de liquidación deberá referenciar un código del CCL y opcionalmente un fundamento normativo específico.</w:t>
      </w:r>
    </w:p>
    <w:p>
      <w:pPr>
        <w:pStyle w:val="Compact"/>
        <w:numPr>
          <w:ilvl w:val="0"/>
          <w:numId w:val="1003"/>
        </w:numPr>
      </w:pPr>
      <w:r>
        <w:t xml:space="preserve">Cambios al CCL siguen versionado y política de aprobación (VERF) con pruebas de regresión.</w:t>
      </w:r>
    </w:p>
    <w:bookmarkEnd w:id="21"/>
    <w:bookmarkStart w:id="22" w:name="alternativas-consideradas"/>
    <w:p>
      <w:pPr>
        <w:pStyle w:val="Heading2"/>
      </w:pPr>
      <w:r>
        <w:t xml:space="preserve">Alternativas consideradas</w:t>
      </w:r>
    </w:p>
    <w:p>
      <w:pPr>
        <w:pStyle w:val="Compact"/>
        <w:numPr>
          <w:ilvl w:val="0"/>
          <w:numId w:val="1004"/>
        </w:numPr>
      </w:pPr>
      <w:r>
        <w:t xml:space="preserve">Definir conceptos dispersos por módulo (riesgo de divergencia y duplicidad).</w:t>
      </w:r>
    </w:p>
    <w:p>
      <w:pPr>
        <w:pStyle w:val="Compact"/>
        <w:numPr>
          <w:ilvl w:val="0"/>
          <w:numId w:val="1004"/>
        </w:numPr>
      </w:pPr>
      <w:r>
        <w:t xml:space="preserve">Generar conceptos ad-hoc en runtime (opacidad normativa y contable).</w:t>
      </w:r>
    </w:p>
    <w:bookmarkEnd w:id="22"/>
    <w:bookmarkStart w:id="23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05"/>
        </w:numPr>
      </w:pPr>
      <w:r>
        <w:t xml:space="preserve">(+) Unificación semántica; mejor comunicación y auditoría; reportería consistente.</w:t>
      </w:r>
    </w:p>
    <w:p>
      <w:pPr>
        <w:pStyle w:val="Compact"/>
        <w:numPr>
          <w:ilvl w:val="0"/>
          <w:numId w:val="1005"/>
        </w:numPr>
      </w:pPr>
      <w:r>
        <w:t xml:space="preserve">(–) Necesidad de gobierno del catálogo y tooling de validación y publicación.</w:t>
      </w:r>
    </w:p>
    <w:bookmarkEnd w:id="23"/>
    <w:bookmarkStart w:id="24" w:name="acciones"/>
    <w:p>
      <w:pPr>
        <w:pStyle w:val="Heading2"/>
      </w:pPr>
      <w:r>
        <w:t xml:space="preserve">Acciones</w:t>
      </w:r>
    </w:p>
    <w:p>
      <w:pPr>
        <w:pStyle w:val="Compact"/>
        <w:numPr>
          <w:ilvl w:val="0"/>
          <w:numId w:val="1006"/>
        </w:numPr>
      </w:pPr>
      <w:r>
        <w:t xml:space="preserve">Definir esquema y repositorio del CCL; validar referencialidad en el dominio (</w:t>
      </w:r>
      <w:r>
        <w:rPr>
          <w:rStyle w:val="VerbatimChar"/>
        </w:rPr>
        <w:t xml:space="preserve">ConceptoLiquidacion.CodigoConcepto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Incorporar validaciones en CI para evitar códigos huérfanos/duplicados.</w:t>
      </w:r>
    </w:p>
    <w:bookmarkEnd w:id="24"/>
    <w:bookmarkStart w:id="25" w:name="preguntas-abiertas-para-validación"/>
    <w:p>
      <w:pPr>
        <w:pStyle w:val="Heading2"/>
      </w:pPr>
      <w:r>
        <w:t xml:space="preserve">Preguntas abiertas (para validación)</w:t>
      </w:r>
    </w:p>
    <w:p>
      <w:pPr>
        <w:pStyle w:val="Compact"/>
        <w:numPr>
          <w:ilvl w:val="0"/>
          <w:numId w:val="1007"/>
        </w:numPr>
      </w:pPr>
      <w:r>
        <w:t xml:space="preserve">¿El CCL debe incluir cuentas contables SAP por código o mantenerse externo con mapeo por período?</w:t>
      </w:r>
    </w:p>
    <w:p>
      <w:pPr>
        <w:pStyle w:val="Compact"/>
        <w:numPr>
          <w:ilvl w:val="0"/>
          <w:numId w:val="1007"/>
        </w:numPr>
      </w:pPr>
      <w:r>
        <w:t xml:space="preserve">¿Requiere multi-idioma o descripciones “para beneficiario” vs “técnicas” separadas?</w:t>
      </w:r>
    </w:p>
    <w:p>
      <w:pPr>
        <w:pStyle w:val="Compact"/>
        <w:numPr>
          <w:ilvl w:val="0"/>
          <w:numId w:val="1007"/>
        </w:numPr>
      </w:pPr>
      <w:r>
        <w:t xml:space="preserve">¿Qué subtaxonomía adicional se necesita (por ejemplo, agrupaciones para reportes)?</w:t>
      </w:r>
    </w:p>
    <w:bookmarkEnd w:id="25"/>
    <w:bookmarkStart w:id="26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8"/>
        </w:numPr>
      </w:pPr>
      <w:r>
        <w:t xml:space="preserve">MDLO v1:</w:t>
      </w:r>
      <w:r>
        <w:t xml:space="preserve"> </w:t>
      </w:r>
      <w:r>
        <w:rPr>
          <w:rStyle w:val="VerbatimChar"/>
        </w:rPr>
        <w:t xml:space="preserve">1_dominio/03_Glosario_y_Catalogos.md</w:t>
      </w:r>
      <w:r>
        <w:t xml:space="preserve"> </w:t>
      </w:r>
      <w:r>
        <w:t xml:space="preserve">(CCL)</w:t>
      </w:r>
    </w:p>
    <w:p>
      <w:pPr>
        <w:pStyle w:val="Compact"/>
        <w:numPr>
          <w:ilvl w:val="0"/>
          <w:numId w:val="1008"/>
        </w:numPr>
      </w:pPr>
      <w:r>
        <w:t xml:space="preserve">arc42: §5, §8, §10</w:t>
      </w:r>
    </w:p>
    <w:bookmarkEnd w:id="26"/>
    <w:bookmarkEnd w:id="27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2025-08-12T11:50:45Z</dcterms:created>
  <dcterms:modified xsi:type="dcterms:W3CDTF">2025-08-12T11:50:45Z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