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fccb3debdaad8da69dd1c24b9f4df568cdf133"/>
    <w:p>
      <w:pPr>
        <w:pStyle w:val="Heading1"/>
      </w:pPr>
      <w:r>
        <w:t xml:space="preserve">ADR-005: Modelo unificado de Acuerdos de Pago y aplicación en liquidación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El dominio requiere modelar acuerdos que alteran destino/composición del pago: apoderados, curadores, retenciones judiciales, convenios CCAF, pagos directos AF, etc.</w:t>
      </w:r>
    </w:p>
    <w:p>
      <w:pPr>
        <w:pStyle w:val="Compact"/>
        <w:numPr>
          <w:ilvl w:val="0"/>
          <w:numId w:val="1002"/>
        </w:numPr>
      </w:pPr>
      <w:r>
        <w:t xml:space="preserve">MDLO v1 propone un modelo central con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MetodoDePago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ConfiguracionDescuento</w:t>
      </w:r>
      <w:r>
        <w:t xml:space="preserve"> </w:t>
      </w:r>
      <w:r>
        <w:t xml:space="preserve">y procesos PDN asociados.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3"/>
        </w:numPr>
      </w:pPr>
      <w:r>
        <w:t xml:space="preserve">Unificar acuerdos en la entidad</w:t>
      </w:r>
      <w:r>
        <w:t xml:space="preserve"> </w:t>
      </w:r>
      <w:r>
        <w:rPr>
          <w:rStyle w:val="VerbatimChar"/>
        </w:rPr>
        <w:t xml:space="preserve">AcuerdoDePago</w:t>
      </w:r>
      <w:r>
        <w:t xml:space="preserve"> </w:t>
      </w:r>
      <w:r>
        <w:t xml:space="preserve">con tipificación y vigencias, enlazada a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FichaPersona</w:t>
      </w:r>
      <w:r>
        <w:t xml:space="preserve"> </w:t>
      </w:r>
      <w:r>
        <w:t xml:space="preserve">del cobrador.</w:t>
      </w:r>
    </w:p>
    <w:p>
      <w:pPr>
        <w:pStyle w:val="Compact"/>
        <w:numPr>
          <w:ilvl w:val="0"/>
          <w:numId w:val="1003"/>
        </w:numPr>
      </w:pPr>
      <w:r>
        <w:t xml:space="preserve">Aplicar acuerdos en</w:t>
      </w:r>
      <w:r>
        <w:t xml:space="preserve"> </w:t>
      </w:r>
      <w:r>
        <w:rPr>
          <w:rStyle w:val="VerbatimChar"/>
        </w:rPr>
        <w:t xml:space="preserve">PDN-PAG-003</w:t>
      </w:r>
      <w:r>
        <w:t xml:space="preserve"> </w:t>
      </w:r>
      <w:r>
        <w:t xml:space="preserve">(PLI) mediante reglas</w:t>
      </w:r>
      <w:r>
        <w:t xml:space="preserve"> </w:t>
      </w:r>
      <w:r>
        <w:rPr>
          <w:rStyle w:val="VerbatimChar"/>
        </w:rPr>
        <w:t xml:space="preserve">CALC-PLI-007/008/011</w:t>
      </w:r>
      <w:r>
        <w:t xml:space="preserve"> </w:t>
      </w:r>
      <w:r>
        <w:t xml:space="preserve">y validaciones</w:t>
      </w:r>
      <w:r>
        <w:t xml:space="preserve"> </w:t>
      </w:r>
      <w:r>
        <w:rPr>
          <w:rStyle w:val="VerbatimChar"/>
        </w:rPr>
        <w:t xml:space="preserve">VALID-ACUERDO-*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Exigir VERF cuando corresponda (mandatos, retenciones, etc.) y registrar evidencia documental.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4"/>
        </w:numPr>
      </w:pPr>
      <w:r>
        <w:t xml:space="preserve">Modelos separados por tipo de acuerdo (complejidad y duplicidad de lógica).</w:t>
      </w:r>
    </w:p>
    <w:p>
      <w:pPr>
        <w:pStyle w:val="Compact"/>
        <w:numPr>
          <w:ilvl w:val="0"/>
          <w:numId w:val="1004"/>
        </w:numPr>
      </w:pPr>
      <w:r>
        <w:t xml:space="preserve">Incrustar datos de acuerdo directamente en liquidaciones (pérdida de gobernanza/vida útil del acuerdo).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5"/>
        </w:numPr>
      </w:pPr>
      <w:r>
        <w:t xml:space="preserve">(+) Consistencia y trazabilidad; reglas reutilizables para aplicar acuerdos; menor duplicidad.</w:t>
      </w:r>
    </w:p>
    <w:p>
      <w:pPr>
        <w:pStyle w:val="Compact"/>
        <w:numPr>
          <w:ilvl w:val="0"/>
          <w:numId w:val="1005"/>
        </w:numPr>
      </w:pPr>
      <w:r>
        <w:t xml:space="preserve">(–) Necesidad de tooling para gestionar vida útil de acuerdos y prioridades.</w:t>
      </w:r>
    </w:p>
    <w:bookmarkEnd w:id="23"/>
    <w:bookmarkStart w:id="24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06"/>
        </w:numPr>
      </w:pPr>
      <w:r>
        <w:t xml:space="preserve">Normalizar catálogo de tipos y prioridades; definir política de conflictos entre acuerdos.</w:t>
      </w:r>
    </w:p>
    <w:p>
      <w:pPr>
        <w:pStyle w:val="Compact"/>
        <w:numPr>
          <w:ilvl w:val="0"/>
          <w:numId w:val="1006"/>
        </w:numPr>
      </w:pPr>
      <w:r>
        <w:t xml:space="preserve">Validaciones de vigencia, límites legales y consistencia con CCL.</w:t>
      </w:r>
    </w:p>
    <w:bookmarkEnd w:id="24"/>
    <w:bookmarkStart w:id="25" w:name="preguntas-abiertas-para-validación"/>
    <w:p>
      <w:pPr>
        <w:pStyle w:val="Heading2"/>
      </w:pPr>
      <w:r>
        <w:t xml:space="preserve">Preguntas abiertas (para validación)</w:t>
      </w:r>
    </w:p>
    <w:p>
      <w:pPr>
        <w:pStyle w:val="Compact"/>
        <w:numPr>
          <w:ilvl w:val="0"/>
          <w:numId w:val="1007"/>
        </w:numPr>
      </w:pPr>
      <w:r>
        <w:t xml:space="preserve">¿Cuál es la política de prioridad y composición de múltiples acuerdos activos en el mismo período?</w:t>
      </w:r>
    </w:p>
    <w:p>
      <w:pPr>
        <w:pStyle w:val="Compact"/>
        <w:numPr>
          <w:ilvl w:val="0"/>
          <w:numId w:val="1007"/>
        </w:numPr>
      </w:pPr>
      <w:r>
        <w:t xml:space="preserve">¿Mandatos (apoderados) deben caducar automáticamente a los 2 años o requieren verificación documental periódica manual?</w:t>
      </w:r>
    </w:p>
    <w:p>
      <w:pPr>
        <w:pStyle w:val="Compact"/>
        <w:numPr>
          <w:ilvl w:val="0"/>
          <w:numId w:val="1007"/>
        </w:numPr>
      </w:pPr>
      <w:r>
        <w:t xml:space="preserve">¿Se deben notificar cambios de cobrador a entes externos automáticamente?</w:t>
      </w:r>
    </w:p>
    <w:bookmarkEnd w:id="25"/>
    <w:bookmarkStart w:id="26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8"/>
        </w:numPr>
      </w:pPr>
      <w:r>
        <w:t xml:space="preserve">MDLO v1:</w:t>
      </w:r>
      <w:r>
        <w:t xml:space="preserve"> </w:t>
      </w:r>
      <w:r>
        <w:rPr>
          <w:rStyle w:val="VerbatimChar"/>
        </w:rPr>
        <w:t xml:space="preserve">1_dominio/04_Modelo_de_Entidades.md</w:t>
      </w:r>
      <w:r>
        <w:t xml:space="preserve"> </w:t>
      </w:r>
      <w:r>
        <w:t xml:space="preserve">(Acuerdos) y</w:t>
      </w:r>
      <w:r>
        <w:t xml:space="preserve"> </w:t>
      </w:r>
      <w:r>
        <w:rPr>
          <w:rStyle w:val="VerbatimChar"/>
        </w:rPr>
        <w:t xml:space="preserve">05_Procesos_de_Negocio.md</w:t>
      </w:r>
    </w:p>
    <w:p>
      <w:pPr>
        <w:pStyle w:val="Compact"/>
        <w:numPr>
          <w:ilvl w:val="0"/>
          <w:numId w:val="1008"/>
        </w:numPr>
      </w:pPr>
      <w:r>
        <w:t xml:space="preserve">arc42: §5, §6, §8</w:t>
      </w:r>
    </w:p>
    <w:bookmarkEnd w:id="26"/>
    <w:bookmarkEnd w:id="27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2025-08-12T11:50:45Z</dcterms:created>
  <dcterms:modified xsi:type="dcterms:W3CDTF">2025-08-12T11:50:45Z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