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07d7595bca4750e4bed9131525be353d25d1b42"/>
    <w:p>
      <w:pPr>
        <w:pStyle w:val="Heading1"/>
      </w:pPr>
      <w:r>
        <w:t xml:space="preserve">ADR-006: Idempotencia e integridad en integraciones masivas (Banco, PREVIRED, SAP)</w:t>
      </w:r>
    </w:p>
    <w:p>
      <w:pPr>
        <w:pStyle w:val="Compact"/>
        <w:numPr>
          <w:ilvl w:val="0"/>
          <w:numId w:val="1001"/>
        </w:numPr>
      </w:pPr>
      <w:r>
        <w:t xml:space="preserve">Estado: Propuesta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Compact"/>
        <w:numPr>
          <w:ilvl w:val="0"/>
          <w:numId w:val="1002"/>
        </w:numPr>
      </w:pPr>
      <w:r>
        <w:t xml:space="preserve">Los procesos de pago y reportería dependen de archivos masivos y reintentos controlados. El riesgo de duplicidades o inconsistencias debe mitigarse.</w:t>
      </w:r>
    </w:p>
    <w:p>
      <w:pPr>
        <w:pStyle w:val="Compact"/>
        <w:numPr>
          <w:ilvl w:val="0"/>
          <w:numId w:val="1002"/>
        </w:numPr>
      </w:pPr>
      <w:r>
        <w:t xml:space="preserve">Se requieren SLIs de idempotencia (0 duplicados/mes) y verificaciones de cuadratura.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3"/>
        </w:numPr>
      </w:pPr>
      <w:r>
        <w:t xml:space="preserve">Emplear claves</w:t>
      </w:r>
      <w:r>
        <w:t xml:space="preserve"> </w:t>
      </w:r>
      <w:r>
        <w:rPr>
          <w:rStyle w:val="VerbatimChar"/>
        </w:rPr>
        <w:t xml:space="preserve">idempotency_hash</w:t>
      </w:r>
      <w:r>
        <w:t xml:space="preserve"> </w:t>
      </w:r>
      <w:r>
        <w:t xml:space="preserve">por operación externa (por fila) y por archivo, con persistencia para evitar reaplicaciones.</w:t>
      </w:r>
    </w:p>
    <w:p>
      <w:pPr>
        <w:pStyle w:val="Compact"/>
        <w:numPr>
          <w:ilvl w:val="0"/>
          <w:numId w:val="1003"/>
        </w:numPr>
      </w:pPr>
      <w:r>
        <w:t xml:space="preserve">Implementar reconciliaciones y cuadraturas para nóminas bancarias, PREVIRED y SAP.</w:t>
      </w:r>
    </w:p>
    <w:p>
      <w:pPr>
        <w:pStyle w:val="Compact"/>
        <w:numPr>
          <w:ilvl w:val="0"/>
          <w:numId w:val="1003"/>
        </w:numPr>
      </w:pPr>
      <w:r>
        <w:t xml:space="preserve">Gestionar DLQ y replays controlados con trazabilidad de causa y efecto.</w:t>
      </w:r>
    </w:p>
    <w:bookmarkEnd w:id="21"/>
    <w:bookmarkStart w:id="22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4"/>
        </w:numPr>
      </w:pPr>
      <w:r>
        <w:t xml:space="preserve">Confiar en idempotencia del proveedor externo (riesgo alto; control limitado).</w:t>
      </w:r>
    </w:p>
    <w:bookmarkEnd w:id="22"/>
    <w:bookmarkStart w:id="23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5"/>
        </w:numPr>
      </w:pPr>
      <w:r>
        <w:t xml:space="preserve">(+) Reducción de duplicidades; recuperabilidad ante fallos; auditoría sólida.</w:t>
      </w:r>
    </w:p>
    <w:p>
      <w:pPr>
        <w:pStyle w:val="Compact"/>
        <w:numPr>
          <w:ilvl w:val="0"/>
          <w:numId w:val="1005"/>
        </w:numPr>
      </w:pPr>
      <w:r>
        <w:t xml:space="preserve">(–) Overhead de almacenamiento y procesos de reconciliación.</w:t>
      </w:r>
    </w:p>
    <w:bookmarkEnd w:id="23"/>
    <w:bookmarkStart w:id="24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06"/>
        </w:numPr>
      </w:pPr>
      <w:r>
        <w:t xml:space="preserve">Definir formatos de hash por integración y políticas de retención.</w:t>
      </w:r>
    </w:p>
    <w:p>
      <w:pPr>
        <w:pStyle w:val="Compact"/>
        <w:numPr>
          <w:ilvl w:val="0"/>
          <w:numId w:val="1006"/>
        </w:numPr>
      </w:pPr>
      <w:r>
        <w:t xml:space="preserve">Implementar validaciones previas y posteriores a envíos (cuadraturas, totales por estado).</w:t>
      </w:r>
    </w:p>
    <w:p>
      <w:pPr>
        <w:pStyle w:val="Compact"/>
        <w:numPr>
          <w:ilvl w:val="0"/>
          <w:numId w:val="1006"/>
        </w:numPr>
      </w:pPr>
      <w:r>
        <w:t xml:space="preserve">Documentar recetas operativas:</w:t>
      </w:r>
      <w:r>
        <w:t xml:space="preserve"> </w:t>
      </w:r>
      <w:r>
        <w:rPr>
          <w:rStyle w:val="VerbatimChar"/>
        </w:rPr>
        <w:t xml:space="preserve">3_especificacion_tecnica/operacion/02_idempotencia.md</w:t>
      </w:r>
      <w:r>
        <w:t xml:space="preserve">.</w:t>
      </w:r>
    </w:p>
    <w:bookmarkEnd w:id="24"/>
    <w:bookmarkStart w:id="25" w:name="preguntas-abiertas-para-validación"/>
    <w:p>
      <w:pPr>
        <w:pStyle w:val="Heading2"/>
      </w:pPr>
      <w:r>
        <w:t xml:space="preserve">Preguntas abiertas (para validación)</w:t>
      </w:r>
    </w:p>
    <w:p>
      <w:pPr>
        <w:pStyle w:val="Compact"/>
        <w:numPr>
          <w:ilvl w:val="0"/>
          <w:numId w:val="1007"/>
        </w:numPr>
      </w:pPr>
      <w:r>
        <w:t xml:space="preserve">¿Cuál es la ventana de retención de</w:t>
      </w:r>
      <w:r>
        <w:t xml:space="preserve"> </w:t>
      </w:r>
      <w:r>
        <w:rPr>
          <w:rStyle w:val="VerbatimChar"/>
        </w:rPr>
        <w:t xml:space="preserve">idempotency_hash</w:t>
      </w:r>
      <w:r>
        <w:t xml:space="preserve"> </w:t>
      </w:r>
      <w:r>
        <w:t xml:space="preserve">por integración (banco/PREVIRED/SAP)?</w:t>
      </w:r>
    </w:p>
    <w:p>
      <w:pPr>
        <w:pStyle w:val="Compact"/>
        <w:numPr>
          <w:ilvl w:val="0"/>
          <w:numId w:val="1007"/>
        </w:numPr>
      </w:pPr>
      <w:r>
        <w:t xml:space="preserve">¿Qué métricas específicas (SLIs) se monitorearán y con qué umbrales de alerta?</w:t>
      </w:r>
    </w:p>
    <w:p>
      <w:pPr>
        <w:pStyle w:val="Compact"/>
        <w:numPr>
          <w:ilvl w:val="0"/>
          <w:numId w:val="1007"/>
        </w:numPr>
      </w:pPr>
      <w:r>
        <w:t xml:space="preserve">¿Cómo se manejarán correcciones manuales fuera de sistema (archivos re-hechos)?</w:t>
      </w:r>
    </w:p>
    <w:bookmarkEnd w:id="25"/>
    <w:bookmarkStart w:id="2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8"/>
        </w:numPr>
      </w:pPr>
      <w:r>
        <w:t xml:space="preserve">MDLO v1: Anexos E (Interfaces) y G (EV)</w:t>
      </w:r>
    </w:p>
    <w:p>
      <w:pPr>
        <w:pStyle w:val="Compact"/>
        <w:numPr>
          <w:ilvl w:val="0"/>
          <w:numId w:val="1008"/>
        </w:numPr>
      </w:pPr>
      <w:r>
        <w:t xml:space="preserve">arc42: §6, §7, §10</w:t>
      </w:r>
    </w:p>
    <w:bookmarkEnd w:id="26"/>
    <w:bookmarkEnd w:id="27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2025-08-12T11:50:45Z</dcterms:created>
  <dcterms:modified xsi:type="dcterms:W3CDTF">2025-08-12T11:50:45Z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