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8d576451c1a018af5494f483f0f36f4b2f62b9"/>
    <w:p>
      <w:pPr>
        <w:pStyle w:val="Heading1"/>
      </w:pPr>
      <w:r>
        <w:t xml:space="preserve">ADR-008: Adopción de AdonisJS 6 como framework base (TypeScript) y extensiones del stack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Se requiere un framework opinionado en TypeScript que facilite:</w:t>
      </w:r>
    </w:p>
    <w:p>
      <w:pPr>
        <w:pStyle w:val="Compact"/>
        <w:numPr>
          <w:ilvl w:val="1"/>
          <w:numId w:val="1003"/>
        </w:numPr>
      </w:pPr>
      <w:r>
        <w:t xml:space="preserve">Productividad con IoC, configuración, validación, ORM y migraciones.</w:t>
      </w:r>
    </w:p>
    <w:p>
      <w:pPr>
        <w:pStyle w:val="Compact"/>
        <w:numPr>
          <w:ilvl w:val="1"/>
          <w:numId w:val="1003"/>
        </w:numPr>
      </w:pPr>
      <w:r>
        <w:t xml:space="preserve">Claridad estructural para dominios, servicios y módulos.</w:t>
      </w:r>
    </w:p>
    <w:p>
      <w:pPr>
        <w:pStyle w:val="Compact"/>
        <w:numPr>
          <w:ilvl w:val="1"/>
          <w:numId w:val="1003"/>
        </w:numPr>
      </w:pPr>
      <w:r>
        <w:t xml:space="preserve">Integración con patrones de calidad definidos (outbox, idempotencia, WORM, auditoría) y necesidad de alto rendimiento.</w:t>
      </w:r>
    </w:p>
    <w:p>
      <w:pPr>
        <w:pStyle w:val="Compact"/>
        <w:numPr>
          <w:ilvl w:val="1"/>
          <w:numId w:val="1003"/>
        </w:numPr>
      </w:pPr>
      <w:r>
        <w:t xml:space="preserve">Enfoque fuerte en pruebas E2E alineadas a escenarios de verificación del dominio (MDLO v1 Anexo G), con fixtures/factories y pipelines deterministas (golden sets).</w:t>
      </w:r>
    </w:p>
    <w:p>
      <w:pPr>
        <w:pStyle w:val="Compact"/>
        <w:numPr>
          <w:ilvl w:val="0"/>
          <w:numId w:val="1002"/>
        </w:numPr>
      </w:pPr>
      <w:r>
        <w:t xml:space="preserve">Alternativas evaluadas en el ecosistema Node.js: NestJS, Express/Fastify (con librerías sueltas), Hapi.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4"/>
        </w:numPr>
      </w:pPr>
      <w:r>
        <w:t xml:space="preserve">Adoptar AdonisJS 6 como framework de aplicación backend (API + jobs) con:</w:t>
      </w:r>
    </w:p>
    <w:p>
      <w:pPr>
        <w:pStyle w:val="Compact"/>
        <w:numPr>
          <w:ilvl w:val="1"/>
          <w:numId w:val="1005"/>
        </w:numPr>
      </w:pPr>
      <w:r>
        <w:t xml:space="preserve">IoC/Container nativo, rutas HTTP, validación, configuración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logger.</w:t>
      </w:r>
    </w:p>
    <w:p>
      <w:pPr>
        <w:pStyle w:val="Compact"/>
        <w:numPr>
          <w:ilvl w:val="1"/>
          <w:numId w:val="1005"/>
        </w:numPr>
      </w:pPr>
      <w:r>
        <w:t xml:space="preserve">Lucid ORM (migraciones, seeders, factories) para persistencia relacional.</w:t>
      </w:r>
    </w:p>
    <w:p>
      <w:pPr>
        <w:pStyle w:val="Compact"/>
        <w:numPr>
          <w:ilvl w:val="1"/>
          <w:numId w:val="1005"/>
        </w:numPr>
      </w:pPr>
      <w:r>
        <w:t xml:space="preserve">Módulos de aplicación para servicios de dominio, publicador Outbox y jobs programados.</w:t>
      </w:r>
    </w:p>
    <w:p>
      <w:pPr>
        <w:pStyle w:val="Compact"/>
        <w:numPr>
          <w:ilvl w:val="1"/>
          <w:numId w:val="1005"/>
        </w:numPr>
      </w:pPr>
      <w:r>
        <w:t xml:space="preserve">Soporte de pruebas con Japa runner y estructura para E2E: bootstrap de base de datos, factories, seeders por escenario, y verificación determinista contra golden sets.</w:t>
      </w:r>
    </w:p>
    <w:p>
      <w:pPr>
        <w:pStyle w:val="Compact"/>
        <w:numPr>
          <w:ilvl w:val="0"/>
          <w:numId w:val="1004"/>
        </w:numPr>
      </w:pPr>
      <w:r>
        <w:t xml:space="preserve">Extender con librerías/módulos populares y bien mantenidos:</w:t>
      </w:r>
    </w:p>
    <w:p>
      <w:pPr>
        <w:pStyle w:val="Compact"/>
        <w:numPr>
          <w:ilvl w:val="1"/>
          <w:numId w:val="1006"/>
        </w:numPr>
      </w:pPr>
      <w:r>
        <w:t xml:space="preserve">Integraciones/archivos:</w:t>
      </w:r>
      <w:r>
        <w:t xml:space="preserve"> </w:t>
      </w:r>
      <w:r>
        <w:rPr>
          <w:rStyle w:val="VerbatimChar"/>
        </w:rPr>
        <w:t xml:space="preserve">fast-csv</w:t>
      </w:r>
      <w:r>
        <w:t xml:space="preserve">/</w:t>
      </w:r>
      <w:r>
        <w:rPr>
          <w:rStyle w:val="VerbatimChar"/>
        </w:rPr>
        <w:t xml:space="preserve">csv-parse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para Excel;</w:t>
      </w:r>
      <w:r>
        <w:t xml:space="preserve"> </w:t>
      </w:r>
      <w:r>
        <w:rPr>
          <w:rStyle w:val="VerbatimChar"/>
        </w:rPr>
        <w:t xml:space="preserve">aws-sdk v3</w:t>
      </w:r>
      <w:r>
        <w:t xml:space="preserve"> </w:t>
      </w:r>
      <w:r>
        <w:t xml:space="preserve">(S3/Object Lock si aplica),</w:t>
      </w:r>
      <w:r>
        <w:t xml:space="preserve"> </w:t>
      </w:r>
      <w:r>
        <w:rPr>
          <w:rStyle w:val="VerbatimChar"/>
        </w:rPr>
        <w:t xml:space="preserve">node-cron</w:t>
      </w:r>
      <w:r>
        <w:t xml:space="preserve"> </w:t>
      </w:r>
      <w:r>
        <w:t xml:space="preserve">o cola/broker elegido.</w:t>
      </w:r>
    </w:p>
    <w:p>
      <w:pPr>
        <w:pStyle w:val="Compact"/>
        <w:numPr>
          <w:ilvl w:val="1"/>
          <w:numId w:val="1006"/>
        </w:numPr>
      </w:pPr>
      <w:r>
        <w:t xml:space="preserve">Observabilidad:</w:t>
      </w:r>
      <w:r>
        <w:t xml:space="preserve"> </w:t>
      </w:r>
      <w:r>
        <w:rPr>
          <w:rStyle w:val="VerbatimChar"/>
        </w:rPr>
        <w:t xml:space="preserve">pino</w:t>
      </w:r>
      <w:r>
        <w:t xml:space="preserve">/</w:t>
      </w:r>
      <w:r>
        <w:rPr>
          <w:rStyle w:val="VerbatimChar"/>
        </w:rPr>
        <w:t xml:space="preserve">pino-pretty</w:t>
      </w:r>
      <w:r>
        <w:t xml:space="preserve">, OpenTelemetry (SDK Node) cuando proceda.</w:t>
      </w:r>
    </w:p>
    <w:p>
      <w:pPr>
        <w:pStyle w:val="Compact"/>
        <w:numPr>
          <w:ilvl w:val="1"/>
          <w:numId w:val="1006"/>
        </w:numPr>
      </w:pPr>
      <w:r>
        <w:t xml:space="preserve">Seguridad: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(middlewares),</w:t>
      </w:r>
      <w:r>
        <w:t xml:space="preserve"> </w:t>
      </w:r>
      <w:r>
        <w:rPr>
          <w:rStyle w:val="VerbatimChar"/>
        </w:rPr>
        <w:t xml:space="preserve">rate-limiter-flexible</w:t>
      </w:r>
      <w:r>
        <w:t xml:space="preserve"> </w:t>
      </w:r>
      <w:r>
        <w:t xml:space="preserve">para rate limiting.</w:t>
      </w:r>
    </w:p>
    <w:p>
      <w:pPr>
        <w:pStyle w:val="Compact"/>
        <w:numPr>
          <w:ilvl w:val="1"/>
          <w:numId w:val="1006"/>
        </w:numPr>
      </w:pPr>
      <w:r>
        <w:t xml:space="preserve">Mensajería/broker: cliente según tecnología (Kafka/Redpanda, RabbitMQ, NATS) con productor/consumidor idempotente.</w:t>
      </w:r>
    </w:p>
    <w:p>
      <w:pPr>
        <w:pStyle w:val="Compact"/>
        <w:numPr>
          <w:ilvl w:val="1"/>
          <w:numId w:val="1006"/>
        </w:numPr>
      </w:pPr>
      <w:r>
        <w:t xml:space="preserve">Validación/contratos: JSON Schema (Ajv) para eventos; Zod/Valibot opcional para DTOs internos.</w:t>
      </w:r>
    </w:p>
    <w:bookmarkEnd w:id="21"/>
    <w:bookmarkStart w:id="22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7"/>
        </w:numPr>
      </w:pPr>
      <w:r>
        <w:t xml:space="preserve">API HTTP (REST) para procesos operativos.</w:t>
      </w:r>
    </w:p>
    <w:p>
      <w:pPr>
        <w:pStyle w:val="Compact"/>
        <w:numPr>
          <w:ilvl w:val="0"/>
          <w:numId w:val="1007"/>
        </w:numPr>
      </w:pPr>
      <w:r>
        <w:t xml:space="preserve">Jobs/Workers para outbox, ingestas, generación y publicación de lotes, conciliaciones.</w:t>
      </w:r>
    </w:p>
    <w:p>
      <w:pPr>
        <w:pStyle w:val="Compact"/>
        <w:numPr>
          <w:ilvl w:val="0"/>
          <w:numId w:val="1007"/>
        </w:numPr>
      </w:pPr>
      <w:r>
        <w:t xml:space="preserve">Persistencia con Lucid ORM; migraciones versionadas.</w:t>
      </w:r>
    </w:p>
    <w:p>
      <w:pPr>
        <w:pStyle w:val="Compact"/>
        <w:numPr>
          <w:ilvl w:val="0"/>
          <w:numId w:val="1007"/>
        </w:numPr>
      </w:pPr>
      <w:r>
        <w:t xml:space="preserve">Middlewares para idempotencia y seguridad; servicios para WORM y evidencias.</w:t>
      </w:r>
    </w:p>
    <w:bookmarkEnd w:id="22"/>
    <w:bookmarkStart w:id="23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8"/>
        </w:numPr>
      </w:pPr>
      <w:r>
        <w:t xml:space="preserve">NestJS</w:t>
      </w:r>
    </w:p>
    <w:p>
      <w:pPr>
        <w:pStyle w:val="Compact"/>
        <w:numPr>
          <w:ilvl w:val="0"/>
          <w:numId w:val="1009"/>
        </w:numPr>
      </w:pPr>
      <w:r>
        <w:t xml:space="preserve">Pros: módulos y DI ricos, ecosistema grande.</w:t>
      </w:r>
    </w:p>
    <w:p>
      <w:pPr>
        <w:pStyle w:val="Compact"/>
        <w:numPr>
          <w:ilvl w:val="0"/>
          <w:numId w:val="1009"/>
        </w:numPr>
      </w:pPr>
      <w:r>
        <w:t xml:space="preserve">Contras: sobrecarga conceptual para el tamaño del equipo; integración adicional para ORM/rendimiento según patrones adoptados.</w:t>
      </w:r>
    </w:p>
    <w:p>
      <w:pPr>
        <w:pStyle w:val="Compact"/>
        <w:numPr>
          <w:ilvl w:val="0"/>
          <w:numId w:val="1010"/>
        </w:numPr>
      </w:pPr>
      <w:r>
        <w:t xml:space="preserve">Express/Fastify + librerías</w:t>
      </w:r>
    </w:p>
    <w:p>
      <w:pPr>
        <w:pStyle w:val="Compact"/>
        <w:numPr>
          <w:ilvl w:val="0"/>
          <w:numId w:val="1011"/>
        </w:numPr>
      </w:pPr>
      <w:r>
        <w:t xml:space="preserve">Pros: máxima flexibilidad y rendimiento base alto.</w:t>
      </w:r>
    </w:p>
    <w:p>
      <w:pPr>
        <w:pStyle w:val="Compact"/>
        <w:numPr>
          <w:ilvl w:val="0"/>
          <w:numId w:val="1011"/>
        </w:numPr>
      </w:pPr>
      <w:r>
        <w:t xml:space="preserve">Contras: mayor esfuerzo en estandarizar estructura, DI, validación, testing y convenciones; riesgo de divergencia.</w:t>
      </w:r>
    </w:p>
    <w:p>
      <w:pPr>
        <w:pStyle w:val="Compact"/>
        <w:numPr>
          <w:ilvl w:val="0"/>
          <w:numId w:val="1012"/>
        </w:numPr>
      </w:pPr>
      <w:r>
        <w:t xml:space="preserve">Hapi</w:t>
      </w:r>
    </w:p>
    <w:p>
      <w:pPr>
        <w:pStyle w:val="Compact"/>
        <w:numPr>
          <w:ilvl w:val="0"/>
          <w:numId w:val="1013"/>
        </w:numPr>
      </w:pPr>
      <w:r>
        <w:t xml:space="preserve">Pros: ecosistema maduro, seguridad.</w:t>
      </w:r>
    </w:p>
    <w:p>
      <w:pPr>
        <w:pStyle w:val="Compact"/>
        <w:numPr>
          <w:ilvl w:val="0"/>
          <w:numId w:val="1013"/>
        </w:numPr>
      </w:pPr>
      <w:r>
        <w:t xml:space="preserve">Contras: menor adopción reciente; menos material actualizado en TS para nuestro caso.</w:t>
      </w:r>
    </w:p>
    <w:bookmarkEnd w:id="23"/>
    <w:bookmarkStart w:id="24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14"/>
        </w:numPr>
      </w:pPr>
      <w:r>
        <w:t xml:space="preserve">(+) Curva de aprendizaje coherente con TypeScript e IoC; estructura consistente; productividad en CRUD/migraciones/tests.</w:t>
      </w:r>
    </w:p>
    <w:p>
      <w:pPr>
        <w:pStyle w:val="Compact"/>
        <w:numPr>
          <w:ilvl w:val="0"/>
          <w:numId w:val="1014"/>
        </w:numPr>
      </w:pPr>
      <w:r>
        <w:t xml:space="preserve">(+) Integración natural con nuestras decisiones: outbox, idempotencia, WORM, auditoría.</w:t>
      </w:r>
    </w:p>
    <w:p>
      <w:pPr>
        <w:pStyle w:val="Compact"/>
        <w:numPr>
          <w:ilvl w:val="0"/>
          <w:numId w:val="1014"/>
        </w:numPr>
      </w:pPr>
      <w:r>
        <w:t xml:space="preserve">(+) Alineamiento directo entre escenarios de verificación del dominio y pruebas E2E (fixtures/factories, seeders, japas), reduciendo fricción entre negocio y QA.</w:t>
      </w:r>
    </w:p>
    <w:p>
      <w:pPr>
        <w:pStyle w:val="Compact"/>
        <w:numPr>
          <w:ilvl w:val="0"/>
          <w:numId w:val="1014"/>
        </w:numPr>
      </w:pPr>
      <w:r>
        <w:t xml:space="preserve">(–) Acoplamiento a Lucid ORM y convenciones de Adonis; requiere disciplina para modularizar dominios y aislar dependencias externas.</w:t>
      </w:r>
    </w:p>
    <w:bookmarkEnd w:id="24"/>
    <w:bookmarkStart w:id="25" w:name="librerías-y-módulos-recomendados-inicial"/>
    <w:p>
      <w:pPr>
        <w:pStyle w:val="Heading2"/>
      </w:pPr>
      <w:r>
        <w:t xml:space="preserve">Librerías y módulos recomendados (inicial)</w:t>
      </w:r>
    </w:p>
    <w:p>
      <w:pPr>
        <w:pStyle w:val="Compact"/>
        <w:numPr>
          <w:ilvl w:val="0"/>
          <w:numId w:val="1015"/>
        </w:numPr>
      </w:pPr>
      <w:r>
        <w:t xml:space="preserve">Archivos:</w:t>
      </w:r>
      <w:r>
        <w:t xml:space="preserve"> </w:t>
      </w:r>
      <w:r>
        <w:rPr>
          <w:rStyle w:val="VerbatimChar"/>
        </w:rPr>
        <w:t xml:space="preserve">fast-csv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csv-parse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Almacenamiento:</w:t>
      </w:r>
      <w:r>
        <w:t xml:space="preserve"> </w:t>
      </w:r>
      <w:r>
        <w:rPr>
          <w:rStyle w:val="VerbatimChar"/>
        </w:rPr>
        <w:t xml:space="preserve">aws-sdk</w:t>
      </w:r>
      <w:r>
        <w:t xml:space="preserve"> </w:t>
      </w:r>
      <w:r>
        <w:t xml:space="preserve">(S3),</w:t>
      </w:r>
      <w:r>
        <w:t xml:space="preserve"> </w:t>
      </w:r>
      <w:r>
        <w:rPr>
          <w:rStyle w:val="VerbatimChar"/>
        </w:rPr>
        <w:t xml:space="preserve">@aws-sdk/client-s3</w:t>
      </w:r>
      <w:r>
        <w:t xml:space="preserve"> </w:t>
      </w:r>
      <w:r>
        <w:t xml:space="preserve">(v3) si aplicamos WORM fuerte.</w:t>
      </w:r>
    </w:p>
    <w:p>
      <w:pPr>
        <w:pStyle w:val="Compact"/>
        <w:numPr>
          <w:ilvl w:val="0"/>
          <w:numId w:val="1015"/>
        </w:numPr>
      </w:pPr>
      <w:r>
        <w:t xml:space="preserve">Validación:</w:t>
      </w:r>
      <w:r>
        <w:t xml:space="preserve"> </w:t>
      </w:r>
      <w:r>
        <w:rPr>
          <w:rStyle w:val="VerbatimChar"/>
        </w:rPr>
        <w:t xml:space="preserve">ajv</w:t>
      </w:r>
      <w:r>
        <w:t xml:space="preserve"> </w:t>
      </w:r>
      <w:r>
        <w:t xml:space="preserve">(JSON Schema) para eventos; Zod opcional en capas internas.</w:t>
      </w:r>
    </w:p>
    <w:p>
      <w:pPr>
        <w:pStyle w:val="Compact"/>
        <w:numPr>
          <w:ilvl w:val="0"/>
          <w:numId w:val="1015"/>
        </w:numPr>
      </w:pPr>
      <w:r>
        <w:t xml:space="preserve">Observabilidad:</w:t>
      </w:r>
      <w:r>
        <w:t xml:space="preserve"> </w:t>
      </w:r>
      <w:r>
        <w:rPr>
          <w:rStyle w:val="VerbatimChar"/>
        </w:rPr>
        <w:t xml:space="preserve">pino</w:t>
      </w:r>
      <w:r>
        <w:t xml:space="preserve">,</w:t>
      </w:r>
      <w:r>
        <w:t xml:space="preserve"> </w:t>
      </w:r>
      <w:r>
        <w:rPr>
          <w:rStyle w:val="VerbatimChar"/>
        </w:rPr>
        <w:t xml:space="preserve">@opentelemetry/api</w:t>
      </w:r>
      <w:r>
        <w:t xml:space="preserve"> </w:t>
      </w:r>
      <w:r>
        <w:t xml:space="preserve">/ SDK Node.</w:t>
      </w:r>
    </w:p>
    <w:p>
      <w:pPr>
        <w:pStyle w:val="Compact"/>
        <w:numPr>
          <w:ilvl w:val="0"/>
          <w:numId w:val="1015"/>
        </w:numPr>
      </w:pPr>
      <w:r>
        <w:t xml:space="preserve">Seguridad: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rate-limiter-flexible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Broker (según selección):</w:t>
      </w:r>
      <w:r>
        <w:t xml:space="preserve"> </w:t>
      </w:r>
      <w:r>
        <w:rPr>
          <w:rStyle w:val="VerbatimChar"/>
        </w:rPr>
        <w:t xml:space="preserve">kafkajs</w:t>
      </w:r>
      <w:r>
        <w:t xml:space="preserve">/</w:t>
      </w:r>
      <w:r>
        <w:rPr>
          <w:rStyle w:val="VerbatimChar"/>
        </w:rPr>
        <w:t xml:space="preserve">node-rdkafka</w:t>
      </w:r>
      <w:r>
        <w:t xml:space="preserve">,</w:t>
      </w:r>
      <w:r>
        <w:t xml:space="preserve"> </w:t>
      </w:r>
      <w:r>
        <w:rPr>
          <w:rStyle w:val="VerbatimChar"/>
        </w:rPr>
        <w:t xml:space="preserve">amqplib</w:t>
      </w:r>
      <w:r>
        <w:t xml:space="preserve">,</w:t>
      </w:r>
      <w:r>
        <w:t xml:space="preserve"> </w:t>
      </w:r>
      <w:r>
        <w:rPr>
          <w:rStyle w:val="VerbatimChar"/>
        </w:rPr>
        <w:t xml:space="preserve">nats</w:t>
      </w:r>
      <w:r>
        <w:t xml:space="preserve">.</w:t>
      </w:r>
    </w:p>
    <w:bookmarkEnd w:id="25"/>
    <w:bookmarkStart w:id="26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16"/>
        </w:numPr>
      </w:pPr>
      <w:r>
        <w:t xml:space="preserve">Definir estructura base de módulos (dominio/infra/app) y convenciones (nombres, rutas, validación).</w:t>
      </w:r>
    </w:p>
    <w:p>
      <w:pPr>
        <w:pStyle w:val="Compact"/>
        <w:numPr>
          <w:ilvl w:val="0"/>
          <w:numId w:val="1016"/>
        </w:numPr>
      </w:pPr>
      <w:r>
        <w:t xml:space="preserve">Plantillas de middleware de idempotencia y servicios de Outbox, WORM y conciliación.</w:t>
      </w:r>
    </w:p>
    <w:p>
      <w:pPr>
        <w:pStyle w:val="Compact"/>
        <w:numPr>
          <w:ilvl w:val="0"/>
          <w:numId w:val="1016"/>
        </w:numPr>
      </w:pPr>
      <w:r>
        <w:t xml:space="preserve">Documentar guías de testing (Japa) y CI.</w:t>
      </w:r>
    </w:p>
    <w:p>
      <w:pPr>
        <w:pStyle w:val="Compact"/>
        <w:numPr>
          <w:ilvl w:val="0"/>
          <w:numId w:val="1016"/>
        </w:numPr>
      </w:pPr>
      <w:r>
        <w:t xml:space="preserve">Mantener catálogo de dependencias y versiones soportadas.</w:t>
      </w:r>
    </w:p>
    <w:p>
      <w:pPr>
        <w:pStyle w:val="Compact"/>
        <w:numPr>
          <w:ilvl w:val="0"/>
          <w:numId w:val="1016"/>
        </w:numPr>
      </w:pPr>
      <w:r>
        <w:t xml:space="preserve">Completar especificación E2E y golden sets:</w:t>
      </w:r>
      <w:r>
        <w:t xml:space="preserve"> </w:t>
      </w:r>
      <w:r>
        <w:rPr>
          <w:rStyle w:val="VerbatimChar"/>
        </w:rPr>
        <w:t xml:space="preserve">3_especificacion_tecnica/pruebas/01_e2e_replays.md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3_especificacion_tecnica/pruebas/02_golden_sets.md</w:t>
      </w:r>
      <w:r>
        <w:t xml:space="preserve">.</w:t>
      </w:r>
    </w:p>
    <w:bookmarkEnd w:id="26"/>
    <w:bookmarkStart w:id="27" w:name="preguntas-abiertas"/>
    <w:p>
      <w:pPr>
        <w:pStyle w:val="Heading2"/>
      </w:pPr>
      <w:r>
        <w:t xml:space="preserve">Preguntas abiertas</w:t>
      </w:r>
    </w:p>
    <w:p>
      <w:pPr>
        <w:pStyle w:val="Compact"/>
        <w:numPr>
          <w:ilvl w:val="0"/>
          <w:numId w:val="1017"/>
        </w:numPr>
      </w:pPr>
      <w:r>
        <w:t xml:space="preserve">¿Broker de mensajería preferente (Kafka/Redpanda, RabbitMQ, NATS) y sus SLOs?</w:t>
      </w:r>
    </w:p>
    <w:p>
      <w:pPr>
        <w:pStyle w:val="Compact"/>
        <w:numPr>
          <w:ilvl w:val="0"/>
          <w:numId w:val="1017"/>
        </w:numPr>
      </w:pPr>
      <w:r>
        <w:t xml:space="preserve">¿Lineamientos de observabilidad (niveles de log, trazas, muestreo)?</w:t>
      </w:r>
    </w:p>
    <w:p>
      <w:pPr>
        <w:pStyle w:val="Compact"/>
        <w:numPr>
          <w:ilvl w:val="0"/>
          <w:numId w:val="1017"/>
        </w:numPr>
      </w:pPr>
      <w:r>
        <w:t xml:space="preserve">¿Criterios de selección para storage (S3/Azure/GCP) según requerimientos de WORM fuerte?</w:t>
      </w:r>
    </w:p>
    <w:bookmarkEnd w:id="27"/>
    <w:bookmarkStart w:id="28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arc42 §4, §5, §8</w:t>
      </w:r>
    </w:p>
    <w:p>
      <w:pPr>
        <w:pStyle w:val="Compact"/>
        <w:numPr>
          <w:ilvl w:val="0"/>
          <w:numId w:val="1018"/>
        </w:numPr>
      </w:pPr>
      <w:r>
        <w:t xml:space="preserve">ADR-002 (CRUD + eventos + auditoría)</w:t>
      </w:r>
    </w:p>
    <w:p>
      <w:pPr>
        <w:pStyle w:val="Compact"/>
        <w:numPr>
          <w:ilvl w:val="0"/>
          <w:numId w:val="1018"/>
        </w:numPr>
      </w:pPr>
      <w:r>
        <w:t xml:space="preserve">Especificaciones:</w:t>
      </w:r>
      <w:r>
        <w:t xml:space="preserve"> </w:t>
      </w:r>
      <w:r>
        <w:rPr>
          <w:rStyle w:val="VerbatimChar"/>
        </w:rPr>
        <w:t xml:space="preserve">3_especificacion_tecnica/eventos-auditoria/*</w:t>
      </w:r>
      <w:r>
        <w:t xml:space="preserve">,</w:t>
      </w:r>
      <w:r>
        <w:t xml:space="preserve"> </w:t>
      </w:r>
      <w:r>
        <w:rPr>
          <w:rStyle w:val="VerbatimChar"/>
        </w:rPr>
        <w:t xml:space="preserve">3_especificacion_tecnica/integraciones/</w:t>
      </w:r>
      <w:r>
        <w:t xml:space="preserve">,</w:t>
      </w:r>
      <w:r>
        <w:t xml:space="preserve"> </w:t>
      </w:r>
      <w:r>
        <w:rPr>
          <w:rStyle w:val="VerbatimChar"/>
        </w:rPr>
        <w:t xml:space="preserve">3_especificacion_tecnica/operacion/02_idempotencia.md</w:t>
      </w:r>
    </w:p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