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6f1c59b94ce528f30d6714ab605802b99bdf38"/>
    <w:p>
      <w:pPr>
        <w:pStyle w:val="Heading1"/>
      </w:pPr>
      <w:r>
        <w:t xml:space="preserve">ADR-009: Invocación interna de PDN vía Servicios (IoC) y Comandos/Jobs (sin APIs HTTP internas)</w:t>
      </w:r>
    </w:p>
    <w:p>
      <w:pPr>
        <w:pStyle w:val="Compact"/>
        <w:numPr>
          <w:ilvl w:val="0"/>
          <w:numId w:val="1001"/>
        </w:numPr>
      </w:pPr>
      <w:r>
        <w:t xml:space="preserve">Estado: Aceptada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Para los procesos de Otorgamiento (PDN-OTG-002) y Cálculo de Pago (PDN-PAG-002/003), se evaluó exponer APIs HTTP internas para los PDN versus invocar la lógica de negocio de forma interna mediante servicios registrados en el contenedor IoC de AdonisJS y su orquestación con Ace Commands/Jobs.</w:t>
      </w:r>
    </w:p>
    <w:p>
      <w:pPr>
        <w:pStyle w:val="BodyText"/>
      </w:pPr>
      <w:r>
        <w:t xml:space="preserve">Fuerzas:</w:t>
      </w:r>
      <w:r>
        <w:t xml:space="preserve"> </w:t>
      </w:r>
      <w:r>
        <w:t xml:space="preserve">- Minimizar costo y complejidad (latencia HTTP, seguridad, versionado de contratos, idempotencia HTTP).</w:t>
      </w:r>
      <w:r>
        <w:t xml:space="preserve"> </w:t>
      </w:r>
      <w:r>
        <w:t xml:space="preserve">- Mantener una arquitectura idiomática de AdonisJS (IoC + Services + Validators, controladores delgados, Jobs/Commands reutilizando servicios).</w:t>
      </w:r>
      <w:r>
        <w:t xml:space="preserve"> </w:t>
      </w:r>
      <w:r>
        <w:t xml:space="preserve">- Asegurar idempotencia y auditabilidad con mecanismos de persistencia (locks/índices únicos) y ejecución reproducible.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2"/>
        </w:numPr>
      </w:pPr>
      <w:r>
        <w:t xml:space="preserve">Invocar PDN internamente usando:</w:t>
      </w:r>
    </w:p>
    <w:p>
      <w:pPr>
        <w:pStyle w:val="Compact"/>
        <w:numPr>
          <w:ilvl w:val="1"/>
          <w:numId w:val="1003"/>
        </w:numPr>
      </w:pPr>
      <w:r>
        <w:t xml:space="preserve">Servicios de aplicación registrados en IoC (p. ej.,</w:t>
      </w:r>
      <w:r>
        <w:t xml:space="preserve"> </w:t>
      </w:r>
      <w:r>
        <w:rPr>
          <w:rStyle w:val="VerbatimChar"/>
        </w:rPr>
        <w:t xml:space="preserve">OtorgamientoService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PagoService</w:t>
      </w:r>
      <w:r>
        <w:t xml:space="preserve">) con DTOs tipados y validación VineJS donde aplique.</w:t>
      </w:r>
    </w:p>
    <w:p>
      <w:pPr>
        <w:pStyle w:val="Compact"/>
        <w:numPr>
          <w:ilvl w:val="1"/>
          <w:numId w:val="1003"/>
        </w:numPr>
      </w:pPr>
      <w:r>
        <w:t xml:space="preserve">Comandos Ace y/o Jobs para orquestar procesos (p. ej.,</w:t>
      </w:r>
      <w:r>
        <w:t xml:space="preserve"> </w:t>
      </w:r>
      <w:r>
        <w:rPr>
          <w:rStyle w:val="VerbatimChar"/>
        </w:rPr>
        <w:t xml:space="preserve">pagar:calcular --periodo=AAAAMM</w:t>
      </w:r>
      <w:r>
        <w:t xml:space="preserve">) reutilizando los mismos servicios.</w:t>
      </w:r>
    </w:p>
    <w:p>
      <w:pPr>
        <w:pStyle w:val="Compact"/>
        <w:numPr>
          <w:ilvl w:val="0"/>
          <w:numId w:val="1002"/>
        </w:numPr>
      </w:pPr>
      <w:r>
        <w:t xml:space="preserve">Reservar APIs HTTP para consumo externo/UX. No exponer APIs HTTP “internas” para PDN.</w:t>
      </w:r>
    </w:p>
    <w:p>
      <w:pPr>
        <w:pStyle w:val="Compact"/>
        <w:numPr>
          <w:ilvl w:val="0"/>
          <w:numId w:val="1002"/>
        </w:numPr>
      </w:pPr>
      <w:r>
        <w:t xml:space="preserve">Idempotencia para invocaciones internas mediante transacciones,</w:t>
      </w:r>
      <w:r>
        <w:t xml:space="preserve"> </w:t>
      </w:r>
      <w:r>
        <w:rPr>
          <w:rStyle w:val="VerbatimChar"/>
        </w:rPr>
        <w:t xml:space="preserve">job_locks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 </w:t>
      </w:r>
      <w:r>
        <w:t xml:space="preserve">e índices únicos; no depender de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HTTP.</w:t>
      </w:r>
    </w:p>
    <w:p>
      <w:pPr>
        <w:pStyle w:val="Compact"/>
        <w:numPr>
          <w:ilvl w:val="0"/>
          <w:numId w:val="1002"/>
        </w:numPr>
      </w:pPr>
      <w:r>
        <w:t xml:space="preserve">Observabilidad/auditoría: usar</w:t>
      </w:r>
      <w:r>
        <w:t xml:space="preserve"> </w:t>
      </w:r>
      <w:r>
        <w:rPr>
          <w:rStyle w:val="VerbatimChar"/>
        </w:rPr>
        <w:t xml:space="preserve">ExecutionLogger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, registrar</w:t>
      </w:r>
      <w:r>
        <w:t xml:space="preserve"> </w:t>
      </w:r>
      <w:r>
        <w:rPr>
          <w:rStyle w:val="VerbatimChar"/>
        </w:rPr>
        <w:t xml:space="preserve">marco_normativo_id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hash_ejecucion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, y emitir telemetría de cobertura: eventos de inicio/fin de</w:t>
      </w:r>
      <w:r>
        <w:t xml:space="preserve"> </w:t>
      </w:r>
      <w:r>
        <w:rPr>
          <w:rStyle w:val="VerbatimChar"/>
        </w:rPr>
        <w:t xml:space="preserve">EDN</w:t>
      </w:r>
      <w:r>
        <w:t xml:space="preserve"> </w:t>
      </w:r>
      <w:r>
        <w:t xml:space="preserve">y aplicación de</w:t>
      </w:r>
      <w:r>
        <w:t xml:space="preserve"> </w:t>
      </w:r>
      <w:r>
        <w:rPr>
          <w:rStyle w:val="VerbatimChar"/>
        </w:rPr>
        <w:t xml:space="preserve">RDN</w:t>
      </w:r>
      <w:r>
        <w:t xml:space="preserve"> </w:t>
      </w:r>
      <w:r>
        <w:t xml:space="preserve">(id y versión) correlacionados por</w:t>
      </w:r>
      <w:r>
        <w:t xml:space="preserve"> </w:t>
      </w:r>
      <w:r>
        <w:rPr>
          <w:rStyle w:val="VerbatimChar"/>
        </w:rPr>
        <w:t xml:space="preserve">scenario_id/periodo/marco</w:t>
      </w:r>
      <w:r>
        <w:t xml:space="preserve">.</w:t>
      </w:r>
    </w:p>
    <w:bookmarkEnd w:id="21"/>
    <w:bookmarkStart w:id="22" w:name="alcance"/>
    <w:p>
      <w:pPr>
        <w:pStyle w:val="Heading2"/>
      </w:pPr>
      <w:r>
        <w:t xml:space="preserve">Alcance</w:t>
      </w:r>
    </w:p>
    <w:p>
      <w:pPr>
        <w:pStyle w:val="Compact"/>
        <w:numPr>
          <w:ilvl w:val="0"/>
          <w:numId w:val="1004"/>
        </w:numPr>
      </w:pPr>
      <w:r>
        <w:t xml:space="preserve">Aplica inicialmente a PDN-OTG-002 (otorgamiento y activación) y PDN-PAG-002/003 (PIM/PLI/redondeo); extensible a otros PDN mientras no exista necesidad de consumo externo directo.</w:t>
      </w:r>
    </w:p>
    <w:bookmarkEnd w:id="22"/>
    <w:bookmarkStart w:id="23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5"/>
        </w:numPr>
      </w:pPr>
      <w:r>
        <w:t xml:space="preserve">APIs HTTP internas para PDN (OpenAPI)</w:t>
      </w:r>
    </w:p>
    <w:p>
      <w:pPr>
        <w:pStyle w:val="Compact"/>
        <w:numPr>
          <w:ilvl w:val="0"/>
          <w:numId w:val="1006"/>
        </w:numPr>
      </w:pPr>
      <w:r>
        <w:t xml:space="preserve">Pros: contrato claro, pruebas de contrato, separación de concerns.</w:t>
      </w:r>
    </w:p>
    <w:p>
      <w:pPr>
        <w:pStyle w:val="Compact"/>
        <w:numPr>
          <w:ilvl w:val="0"/>
          <w:numId w:val="1006"/>
        </w:numPr>
      </w:pPr>
      <w:r>
        <w:t xml:space="preserve">Contras: overhead HTTP, seguridad y versionado de contratos; mayor superficie de ataque; idempotencia vía middleware adicional.</w:t>
      </w:r>
    </w:p>
    <w:p>
      <w:pPr>
        <w:pStyle w:val="Compact"/>
        <w:numPr>
          <w:ilvl w:val="0"/>
          <w:numId w:val="1007"/>
        </w:numPr>
      </w:pPr>
      <w:r>
        <w:t xml:space="preserve">Orquestación por eventos/colas internas</w:t>
      </w:r>
    </w:p>
    <w:p>
      <w:pPr>
        <w:pStyle w:val="Compact"/>
        <w:numPr>
          <w:ilvl w:val="0"/>
          <w:numId w:val="1008"/>
        </w:numPr>
      </w:pPr>
      <w:r>
        <w:t xml:space="preserve">Pros: desacople temporal, reintentos nativos, escalabilidad.</w:t>
      </w:r>
    </w:p>
    <w:p>
      <w:pPr>
        <w:pStyle w:val="Compact"/>
        <w:numPr>
          <w:ilvl w:val="0"/>
          <w:numId w:val="1008"/>
        </w:numPr>
      </w:pPr>
      <w:r>
        <w:t xml:space="preserve">Contras: complejiza; requiere broker/infra y semántica de exactamente-una-vez; mayor esfuerzo en trazabilidad.</w:t>
      </w:r>
    </w:p>
    <w:bookmarkEnd w:id="23"/>
    <w:bookmarkStart w:id="24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9"/>
        </w:numPr>
      </w:pPr>
      <w:r>
        <w:t xml:space="preserve">(+) Menor complejidad; alineado con filosofía AdonisJS (IoC/Services/Jobs).</w:t>
      </w:r>
    </w:p>
    <w:p>
      <w:pPr>
        <w:pStyle w:val="Compact"/>
        <w:numPr>
          <w:ilvl w:val="0"/>
          <w:numId w:val="1009"/>
        </w:numPr>
      </w:pPr>
      <w:r>
        <w:t xml:space="preserve">(+) Reutilización de servicios desde controllers, jobs y commands; pruebas Japa más simples (in-memory).</w:t>
      </w:r>
    </w:p>
    <w:p>
      <w:pPr>
        <w:pStyle w:val="Compact"/>
        <w:numPr>
          <w:ilvl w:val="0"/>
          <w:numId w:val="1009"/>
        </w:numPr>
      </w:pPr>
      <w:r>
        <w:t xml:space="preserve">(+) Idempotencia y locking en capa de persistencia (determinismo en corridas).</w:t>
      </w:r>
    </w:p>
    <w:p>
      <w:pPr>
        <w:pStyle w:val="Compact"/>
        <w:numPr>
          <w:ilvl w:val="0"/>
          <w:numId w:val="1009"/>
        </w:numPr>
      </w:pPr>
      <w:r>
        <w:t xml:space="preserve">(–) Menos formalización de contratos HTTP internos (si se requiere exposición futura).</w:t>
      </w:r>
    </w:p>
    <w:p>
      <w:pPr>
        <w:pStyle w:val="Compact"/>
        <w:numPr>
          <w:ilvl w:val="0"/>
          <w:numId w:val="1009"/>
        </w:numPr>
      </w:pPr>
      <w:r>
        <w:t xml:space="preserve">(–) Si se necesita consumo externo, se deberá añadir una capa HTTP delgada sobre los mismos servicios (evolución prevista).</w:t>
      </w:r>
    </w:p>
    <w:bookmarkEnd w:id="24"/>
    <w:bookmarkStart w:id="25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10"/>
        </w:numPr>
      </w:pPr>
      <w:r>
        <w:t xml:space="preserve">Definir</w:t>
      </w:r>
      <w:r>
        <w:t xml:space="preserve"> </w:t>
      </w:r>
      <w:r>
        <w:rPr>
          <w:rStyle w:val="VerbatimChar"/>
        </w:rPr>
        <w:t xml:space="preserve">OtorgamientoService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PagoService</w:t>
      </w:r>
      <w:r>
        <w:t xml:space="preserve"> </w:t>
      </w:r>
      <w:r>
        <w:t xml:space="preserve">con interfaces explícitas y validación de entradas.</w:t>
      </w:r>
    </w:p>
    <w:p>
      <w:pPr>
        <w:pStyle w:val="Compact"/>
        <w:numPr>
          <w:ilvl w:val="0"/>
          <w:numId w:val="1010"/>
        </w:numPr>
      </w:pPr>
      <w:r>
        <w:t xml:space="preserve">Implementar comandos Ace para PDN-OTG-002 y PDN-PAG-002/003 y jobs (si aplica) con</w:t>
      </w:r>
      <w:r>
        <w:t xml:space="preserve"> </w:t>
      </w:r>
      <w:r>
        <w:rPr>
          <w:rStyle w:val="VerbatimChar"/>
        </w:rPr>
        <w:t xml:space="preserve">job_locks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Añadir registros de</w:t>
      </w:r>
      <w:r>
        <w:t xml:space="preserve"> </w:t>
      </w:r>
      <w:r>
        <w:rPr>
          <w:rStyle w:val="VerbatimChar"/>
        </w:rPr>
        <w:t xml:space="preserve">marco_normativo_id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hash_ejecucion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LiquidacionDePago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Emite eventos/telemetría de</w:t>
      </w:r>
      <w:r>
        <w:t xml:space="preserve"> </w:t>
      </w:r>
      <w:r>
        <w:rPr>
          <w:rStyle w:val="VerbatimChar"/>
        </w:rPr>
        <w:t xml:space="preserve">EDN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RDN</w:t>
      </w:r>
      <w:r>
        <w:t xml:space="preserve"> </w:t>
      </w:r>
      <w:r>
        <w:t xml:space="preserve">(id y versión) para validación de cobertura en BDD (ver ADR-013); conservar en logs/tabla de auditoría para trazabilidad.</w:t>
      </w:r>
    </w:p>
    <w:p>
      <w:pPr>
        <w:pStyle w:val="Compact"/>
        <w:numPr>
          <w:ilvl w:val="0"/>
          <w:numId w:val="1010"/>
        </w:numPr>
      </w:pPr>
      <w:r>
        <w:t xml:space="preserve">Pruebas Japa E2E invocando servicios/commands y validando contra golden sets.</w:t>
      </w:r>
    </w:p>
    <w:p>
      <w:pPr>
        <w:pStyle w:val="Compact"/>
        <w:numPr>
          <w:ilvl w:val="0"/>
          <w:numId w:val="1010"/>
        </w:numPr>
      </w:pPr>
      <w:r>
        <w:t xml:space="preserve">Si en el futuro se requieren APIs, generar controladores delgados y OpenAPI sobre estos servicios (sin duplicar lógica).</w:t>
      </w:r>
    </w:p>
    <w:bookmarkEnd w:id="25"/>
    <w:bookmarkStart w:id="2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1"/>
        </w:numPr>
      </w:pPr>
      <w:r>
        <w:t xml:space="preserve">ADR-002: CRUD + eventos + auditoría</w:t>
      </w:r>
    </w:p>
    <w:p>
      <w:pPr>
        <w:pStyle w:val="Compact"/>
        <w:numPr>
          <w:ilvl w:val="0"/>
          <w:numId w:val="1011"/>
        </w:numPr>
      </w:pPr>
      <w:r>
        <w:t xml:space="preserve">ADR-008: AdonisJS 6 como framework base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evaluacion_diseno.md</w:t>
      </w:r>
      <w:r>
        <w:t xml:space="preserve">: §3.3 Runtime (Invocación de PDN), §4.5 Operación, §4.6 Pruebas</w:t>
      </w:r>
    </w:p>
    <w:p>
      <w:pPr>
        <w:pStyle w:val="Compact"/>
        <w:numPr>
          <w:ilvl w:val="0"/>
          <w:numId w:val="1011"/>
        </w:numPr>
      </w:pPr>
      <w:r>
        <w:t xml:space="preserve">arc42: §6 (Runtime), §8 (Conceptos), §10 (Calidad)</w:t>
      </w:r>
    </w:p>
    <w:bookmarkEnd w:id="26"/>
    <w:bookmarkEnd w:id="2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