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550413e4b7e8452f25009f23b5f3b7a0807d3b7"/>
    <w:p>
      <w:pPr>
        <w:pStyle w:val="Heading1"/>
      </w:pPr>
      <w:r>
        <w:t xml:space="preserve">ADR-010: Estrategia de ejecución masiva de liquidaciones de fin de mes</w:t>
      </w:r>
    </w:p>
    <w:p>
      <w:pPr>
        <w:pStyle w:val="Compact"/>
        <w:numPr>
          <w:ilvl w:val="0"/>
          <w:numId w:val="1001"/>
        </w:numPr>
      </w:pPr>
      <w:r>
        <w:t xml:space="preserve">Estado: Propuesta</w:t>
      </w:r>
    </w:p>
    <w:p>
      <w:pPr>
        <w:pStyle w:val="Compact"/>
        <w:numPr>
          <w:ilvl w:val="0"/>
          <w:numId w:val="1001"/>
        </w:numPr>
      </w:pPr>
      <w:r>
        <w:t xml:space="preserve">Fecha: 2025-08-09</w:t>
      </w:r>
    </w:p>
    <w:p>
      <w:pPr>
        <w:pStyle w:val="Compact"/>
        <w:numPr>
          <w:ilvl w:val="0"/>
          <w:numId w:val="1001"/>
        </w:numPr>
      </w:pPr>
      <w:r>
        <w:t xml:space="preserve">Deciders: Javier Errazuriz</w:t>
      </w:r>
    </w:p>
    <w:p>
      <w:pPr>
        <w:pStyle w:val="Compact"/>
        <w:numPr>
          <w:ilvl w:val="0"/>
          <w:numId w:val="1001"/>
        </w:numPr>
      </w:pPr>
      <w:r>
        <w:t xml:space="preserve">Authors: Javier Errazuriz</w:t>
      </w:r>
    </w:p>
    <w:bookmarkStart w:id="20" w:name="contexto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Al cierre de cada mes se deben calcular ~10.000 liquidaciones de pensión en minutos. La arquitectura actual (AdonisJS 6, DB relacional, outbox asíncrono) puede soportarlo con prácticas adecuadas, pero existen varias alternativas de ejecución con distintos costos operativos y de complejidad.</w:t>
      </w:r>
    </w:p>
    <w:bookmarkEnd w:id="20"/>
    <w:bookmarkStart w:id="21" w:name="pregunta-de-decisión"/>
    <w:p>
      <w:pPr>
        <w:pStyle w:val="Heading2"/>
      </w:pPr>
      <w:r>
        <w:t xml:space="preserve">Pregunta de decisión</w:t>
      </w:r>
    </w:p>
    <w:p>
      <w:pPr>
        <w:pStyle w:val="FirstParagraph"/>
      </w:pPr>
      <w:r>
        <w:t xml:space="preserve">¿Qué estrategia adoptaremos para ejecutar el cálculo masivo mensual de liquidaciones, asegurando tiempos de minutos, idempotencia, auditabilidad y reanudación segura?</w:t>
      </w:r>
    </w:p>
    <w:bookmarkEnd w:id="21"/>
    <w:bookmarkStart w:id="22" w:name="alternativas-consideradas"/>
    <w:p>
      <w:pPr>
        <w:pStyle w:val="Heading2"/>
      </w:pPr>
      <w:r>
        <w:t xml:space="preserve">Alternativas consideradas</w:t>
      </w:r>
    </w:p>
    <w:p>
      <w:pPr>
        <w:pStyle w:val="Compact"/>
        <w:numPr>
          <w:ilvl w:val="0"/>
          <w:numId w:val="1002"/>
        </w:numPr>
      </w:pPr>
      <w:r>
        <w:t xml:space="preserve">Paralelización por shards (orquestador + N workers)</w:t>
      </w:r>
    </w:p>
    <w:p>
      <w:pPr>
        <w:pStyle w:val="Compact"/>
        <w:numPr>
          <w:ilvl w:val="0"/>
          <w:numId w:val="1003"/>
        </w:numPr>
      </w:pPr>
      <w:r>
        <w:t xml:space="preserve">Descripción: dividir el set por shard (ej. PrestacionID % N) y procesar en paralelo chunks de 200–1000 casos por worker.</w:t>
      </w:r>
    </w:p>
    <w:p>
      <w:pPr>
        <w:pStyle w:val="Compact"/>
        <w:numPr>
          <w:ilvl w:val="0"/>
          <w:numId w:val="1003"/>
        </w:numPr>
      </w:pPr>
      <w:r>
        <w:t xml:space="preserve">Pros: simple de razonar, escala horizontal, buen aislamiento de fallos.</w:t>
      </w:r>
    </w:p>
    <w:p>
      <w:pPr>
        <w:pStyle w:val="Compact"/>
        <w:numPr>
          <w:ilvl w:val="0"/>
          <w:numId w:val="1003"/>
        </w:numPr>
      </w:pPr>
      <w:r>
        <w:t xml:space="preserve">Contras: requiere coordinación de locking/checkpoints; tuning de tamaño de chunk.</w:t>
      </w:r>
    </w:p>
    <w:p>
      <w:pPr>
        <w:pStyle w:val="Compact"/>
        <w:numPr>
          <w:ilvl w:val="0"/>
          <w:numId w:val="1004"/>
        </w:numPr>
      </w:pPr>
      <w:r>
        <w:t xml:space="preserve">Cola de trabajos (broker) con autoscaling de consumers</w:t>
      </w:r>
    </w:p>
    <w:p>
      <w:pPr>
        <w:pStyle w:val="Compact"/>
        <w:numPr>
          <w:ilvl w:val="0"/>
          <w:numId w:val="1005"/>
        </w:numPr>
      </w:pPr>
      <w:r>
        <w:t xml:space="preserve">Descripción: encolar 10k trabajos (1 por prestación), consumir con concurrencia controlada y Dead Letter Queue (DLQ).</w:t>
      </w:r>
    </w:p>
    <w:p>
      <w:pPr>
        <w:pStyle w:val="Compact"/>
        <w:numPr>
          <w:ilvl w:val="0"/>
          <w:numId w:val="1005"/>
        </w:numPr>
      </w:pPr>
      <w:r>
        <w:t xml:space="preserve">Pros: elasticidad, reintentos finos, Dead Letter Queue (DLQ) nativo.</w:t>
      </w:r>
    </w:p>
    <w:p>
      <w:pPr>
        <w:pStyle w:val="Compact"/>
        <w:numPr>
          <w:ilvl w:val="0"/>
          <w:numId w:val="1005"/>
        </w:numPr>
      </w:pPr>
      <w:r>
        <w:t xml:space="preserve">Contras: dependencia de broker; mayor complejidad operativa.</w:t>
      </w:r>
    </w:p>
    <w:p>
      <w:pPr>
        <w:pStyle w:val="Compact"/>
        <w:numPr>
          <w:ilvl w:val="0"/>
          <w:numId w:val="1006"/>
        </w:numPr>
      </w:pPr>
      <w:r>
        <w:t xml:space="preserve">Cálculo set-based en DB (parcial/total)</w:t>
      </w:r>
    </w:p>
    <w:p>
      <w:pPr>
        <w:pStyle w:val="Compact"/>
        <w:numPr>
          <w:ilvl w:val="0"/>
          <w:numId w:val="1007"/>
        </w:numPr>
      </w:pPr>
      <w:r>
        <w:t xml:space="preserve">Descripción: mover Pensión Imponible Mensual (PIM)/parte de Pensión Líquida Mensual (PLI) a SQL (Common Table Expressions (CTE)/procedimientos almacenados), minimizando ida/vuelta y N+1.</w:t>
      </w:r>
    </w:p>
    <w:p>
      <w:pPr>
        <w:pStyle w:val="Compact"/>
        <w:numPr>
          <w:ilvl w:val="0"/>
          <w:numId w:val="1007"/>
        </w:numPr>
      </w:pPr>
      <w:r>
        <w:t xml:space="preserve">Pros: alto rendimiento cuando reglas son tabulares.</w:t>
      </w:r>
    </w:p>
    <w:p>
      <w:pPr>
        <w:pStyle w:val="Compact"/>
        <w:numPr>
          <w:ilvl w:val="0"/>
          <w:numId w:val="1007"/>
        </w:numPr>
      </w:pPr>
      <w:r>
        <w:t xml:space="preserve">Contras: acopla lógica al motor SQL; menor portabilidad/legibilidad.</w:t>
      </w:r>
    </w:p>
    <w:p>
      <w:pPr>
        <w:pStyle w:val="Compact"/>
        <w:numPr>
          <w:ilvl w:val="0"/>
          <w:numId w:val="1008"/>
        </w:numPr>
      </w:pPr>
      <w:r>
        <w:t xml:space="preserve">Incremental/precomputado</w:t>
      </w:r>
    </w:p>
    <w:p>
      <w:pPr>
        <w:pStyle w:val="Compact"/>
        <w:numPr>
          <w:ilvl w:val="0"/>
          <w:numId w:val="1009"/>
        </w:numPr>
      </w:pPr>
      <w:r>
        <w:t xml:space="preserve">Descripción: precomputar PIM durante el mes; fin de mes aplica PLI + redondeo.</w:t>
      </w:r>
    </w:p>
    <w:p>
      <w:pPr>
        <w:pStyle w:val="Compact"/>
        <w:numPr>
          <w:ilvl w:val="0"/>
          <w:numId w:val="1009"/>
        </w:numPr>
      </w:pPr>
      <w:r>
        <w:t xml:space="preserve">Pros: reduce CPU pico de fin de mes.</w:t>
      </w:r>
    </w:p>
    <w:p>
      <w:pPr>
        <w:pStyle w:val="Compact"/>
        <w:numPr>
          <w:ilvl w:val="0"/>
          <w:numId w:val="1009"/>
        </w:numPr>
      </w:pPr>
      <w:r>
        <w:t xml:space="preserve">Contras: complejiza gobernanza si cambia normativa; mayor superficie de invalidaciones.</w:t>
      </w:r>
    </w:p>
    <w:p>
      <w:pPr>
        <w:pStyle w:val="Compact"/>
        <w:numPr>
          <w:ilvl w:val="0"/>
          <w:numId w:val="1010"/>
        </w:numPr>
      </w:pPr>
      <w:r>
        <w:t xml:space="preserve">Híbrida (DB para PIM; app para PLI/condiciones)</w:t>
      </w:r>
    </w:p>
    <w:p>
      <w:pPr>
        <w:pStyle w:val="Compact"/>
        <w:numPr>
          <w:ilvl w:val="0"/>
          <w:numId w:val="1011"/>
        </w:numPr>
      </w:pPr>
      <w:r>
        <w:t xml:space="preserve">Pros: balance entre rendimiento y mantenibilidad.</w:t>
      </w:r>
    </w:p>
    <w:p>
      <w:pPr>
        <w:pStyle w:val="Compact"/>
        <w:numPr>
          <w:ilvl w:val="0"/>
          <w:numId w:val="1011"/>
        </w:numPr>
      </w:pPr>
      <w:r>
        <w:t xml:space="preserve">Contras: doble locus de lógica; coordinación de cambios.</w:t>
      </w:r>
    </w:p>
    <w:bookmarkEnd w:id="22"/>
    <w:bookmarkStart w:id="24" w:name="Xf3725fbbd7154e7e03bf9f34935add561cc1d68"/>
    <w:p>
      <w:pPr>
        <w:pStyle w:val="Heading2"/>
      </w:pPr>
      <w:r>
        <w:t xml:space="preserve">Alternativas alineadas con AdonisJS 6 (módulos nativos)</w:t>
      </w:r>
    </w:p>
    <w:p>
      <w:pPr>
        <w:pStyle w:val="Compact"/>
        <w:numPr>
          <w:ilvl w:val="0"/>
          <w:numId w:val="1012"/>
        </w:numPr>
      </w:pPr>
      <w:r>
        <w:t xml:space="preserve">Ace Command orquestador + Lucid chunking (recomendada)</w:t>
      </w:r>
    </w:p>
    <w:p>
      <w:pPr>
        <w:pStyle w:val="Compact"/>
        <w:numPr>
          <w:ilvl w:val="1"/>
          <w:numId w:val="1013"/>
        </w:numPr>
      </w:pPr>
      <w:r>
        <w:t xml:space="preserve">Uso:</w:t>
      </w:r>
      <w:r>
        <w:t xml:space="preserve"> </w:t>
      </w:r>
      <w:r>
        <w:rPr>
          <w:rStyle w:val="VerbatimChar"/>
        </w:rPr>
        <w:t xml:space="preserve">Ace</w:t>
      </w:r>
      <w:r>
        <w:t xml:space="preserve"> </w:t>
      </w:r>
      <w:r>
        <w:t xml:space="preserve">(commands),</w:t>
      </w:r>
      <w:r>
        <w:t xml:space="preserve"> </w:t>
      </w:r>
      <w:r>
        <w:rPr>
          <w:rStyle w:val="VerbatimChar"/>
        </w:rPr>
        <w:t xml:space="preserve">@adonisjs/lucid</w:t>
      </w:r>
      <w:r>
        <w:t xml:space="preserve"> </w:t>
      </w:r>
      <w:r>
        <w:t xml:space="preserve">(QueryBuilder/transactions),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, IoC Services.</w:t>
      </w:r>
    </w:p>
    <w:p>
      <w:pPr>
        <w:pStyle w:val="Compact"/>
        <w:numPr>
          <w:ilvl w:val="1"/>
          <w:numId w:val="1013"/>
        </w:numPr>
      </w:pPr>
      <w:r>
        <w:t xml:space="preserve">Modo: command (p. ej.,</w:t>
      </w:r>
      <w:r>
        <w:t xml:space="preserve"> </w:t>
      </w:r>
      <w:r>
        <w:rPr>
          <w:rStyle w:val="VerbatimChar"/>
        </w:rPr>
        <w:t xml:space="preserve">pagar:calcular --periodo=AAAAMM</w:t>
      </w:r>
      <w:r>
        <w:t xml:space="preserve">) que selecciona prestaciones en chunks (200–1000), procesa con concurrencia controlada (8–16), transacción por prestación y multi-insert de líneas CCL. Locks en</w:t>
      </w:r>
      <w:r>
        <w:t xml:space="preserve"> </w:t>
      </w:r>
      <w:r>
        <w:rPr>
          <w:rStyle w:val="VerbatimChar"/>
        </w:rPr>
        <w:t xml:space="preserve">job_locks</w:t>
      </w:r>
      <w:r>
        <w:t xml:space="preserve"> </w:t>
      </w:r>
      <w:r>
        <w:t xml:space="preserve">por (periodo, tipo). Publicación outbox desacoplada en otro command.</w:t>
      </w:r>
    </w:p>
    <w:p>
      <w:pPr>
        <w:pStyle w:val="Compact"/>
        <w:numPr>
          <w:ilvl w:val="1"/>
          <w:numId w:val="1013"/>
        </w:numPr>
      </w:pPr>
      <w:r>
        <w:t xml:space="preserve">Flujo (paso a paso):</w:t>
      </w:r>
    </w:p>
    <w:p>
      <w:pPr>
        <w:pStyle w:val="Compact"/>
        <w:numPr>
          <w:ilvl w:val="2"/>
          <w:numId w:val="1014"/>
        </w:numPr>
      </w:pPr>
      <w:r>
        <w:t xml:space="preserve">Adquirir</w:t>
      </w:r>
      <w:r>
        <w:t xml:space="preserve"> </w:t>
      </w:r>
      <w:r>
        <w:rPr>
          <w:rStyle w:val="VerbatimChar"/>
        </w:rPr>
        <w:t xml:space="preserve">job_lock(periodo, tipo="pago_mensual")</w:t>
      </w:r>
      <w:r>
        <w:t xml:space="preserve"> </w:t>
      </w:r>
      <w:r>
        <w:t xml:space="preserve">para evitar corridas concurrentes.</w:t>
      </w:r>
    </w:p>
    <w:p>
      <w:pPr>
        <w:pStyle w:val="Compact"/>
        <w:numPr>
          <w:ilvl w:val="2"/>
          <w:numId w:val="1014"/>
        </w:numPr>
      </w:pPr>
      <w:r>
        <w:t xml:space="preserve">Resolver y cachear</w:t>
      </w:r>
      <w:r>
        <w:t xml:space="preserve"> </w:t>
      </w:r>
      <w:r>
        <w:rPr>
          <w:rStyle w:val="VerbatimChar"/>
        </w:rPr>
        <w:t xml:space="preserve">MarcoNormativo</w:t>
      </w:r>
      <w:r>
        <w:t xml:space="preserve">, parámetros y CCL inmutables para el período.</w:t>
      </w:r>
    </w:p>
    <w:p>
      <w:pPr>
        <w:pStyle w:val="Compact"/>
        <w:numPr>
          <w:ilvl w:val="2"/>
          <w:numId w:val="1014"/>
        </w:numPr>
      </w:pPr>
      <w:r>
        <w:t xml:space="preserve">Seleccionar prestaciones activas del período con Lucid y procesar en</w:t>
      </w:r>
      <w:r>
        <w:t xml:space="preserve"> </w:t>
      </w:r>
      <w:r>
        <w:rPr>
          <w:rStyle w:val="VerbatimChar"/>
        </w:rPr>
        <w:t xml:space="preserve">.chunk()</w:t>
      </w:r>
      <w:r>
        <w:t xml:space="preserve"> </w:t>
      </w:r>
      <w:r>
        <w:t xml:space="preserve">de 200–1000.</w:t>
      </w:r>
    </w:p>
    <w:p>
      <w:pPr>
        <w:pStyle w:val="Compact"/>
        <w:numPr>
          <w:ilvl w:val="2"/>
          <w:numId w:val="1014"/>
        </w:numPr>
      </w:pPr>
      <w:r>
        <w:t xml:space="preserve">Para cada prestación (pool de 8–16 promesas): abrir transacción; calcular PIM/PLI; upsert de</w:t>
      </w:r>
      <w:r>
        <w:t xml:space="preserve"> </w:t>
      </w:r>
      <w:r>
        <w:rPr>
          <w:rStyle w:val="VerbatimChar"/>
        </w:rPr>
        <w:t xml:space="preserve">LiquidacionDePago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unique(periodo, prestacion_id)</w:t>
      </w:r>
      <w:r>
        <w:t xml:space="preserve">; bulk insert de líneas CCL; registrar</w:t>
      </w:r>
      <w:r>
        <w:t xml:space="preserve"> </w:t>
      </w:r>
      <w:r>
        <w:rPr>
          <w:rStyle w:val="VerbatimChar"/>
        </w:rPr>
        <w:t xml:space="preserve">marco_normativo_id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hash_ejecucion</w:t>
      </w:r>
      <w:r>
        <w:t xml:space="preserve">; commit.</w:t>
      </w:r>
    </w:p>
    <w:p>
      <w:pPr>
        <w:pStyle w:val="Compact"/>
        <w:numPr>
          <w:ilvl w:val="2"/>
          <w:numId w:val="1014"/>
        </w:numPr>
      </w:pPr>
      <w:r>
        <w:t xml:space="preserve">Insertar evento en</w:t>
      </w:r>
      <w:r>
        <w:t xml:space="preserve"> </w:t>
      </w:r>
      <w:r>
        <w:rPr>
          <w:rStyle w:val="VerbatimChar"/>
        </w:rPr>
        <w:t xml:space="preserve">outbox_events</w:t>
      </w:r>
      <w:r>
        <w:t xml:space="preserve"> </w:t>
      </w:r>
      <w:r>
        <w:t xml:space="preserve">dentro de la transacción; publicar de forma asíncrona en un command separado.</w:t>
      </w:r>
    </w:p>
    <w:p>
      <w:pPr>
        <w:pStyle w:val="Compact"/>
        <w:numPr>
          <w:ilvl w:val="2"/>
          <w:numId w:val="1014"/>
        </w:numPr>
      </w:pPr>
      <w:r>
        <w:t xml:space="preserve">Checkpoint por chunk (persistir último</w:t>
      </w:r>
      <w:r>
        <w:t xml:space="preserve"> </w:t>
      </w:r>
      <w:r>
        <w:rPr>
          <w:rStyle w:val="VerbatimChar"/>
        </w:rPr>
        <w:t xml:space="preserve">prestacion_id</w:t>
      </w:r>
      <w:r>
        <w:t xml:space="preserve"> </w:t>
      </w:r>
      <w:r>
        <w:t xml:space="preserve">procesado) para reanudación.</w:t>
      </w:r>
    </w:p>
    <w:p>
      <w:pPr>
        <w:pStyle w:val="Compact"/>
        <w:numPr>
          <w:ilvl w:val="1"/>
          <w:numId w:val="1013"/>
        </w:numPr>
      </w:pPr>
      <w:r>
        <w:t xml:space="preserve">Concurrencia y chunking:</w:t>
      </w:r>
    </w:p>
    <w:p>
      <w:pPr>
        <w:pStyle w:val="Compact"/>
        <w:numPr>
          <w:ilvl w:val="2"/>
          <w:numId w:val="1015"/>
        </w:numPr>
      </w:pPr>
      <w:r>
        <w:t xml:space="preserve">Típico: 8–16 workers; tamaño de chunk 500 (ajustable según CPU/IO). Evitar transacciones largas; 1 transacción por prestación.</w:t>
      </w:r>
    </w:p>
    <w:p>
      <w:pPr>
        <w:pStyle w:val="Compact"/>
        <w:numPr>
          <w:ilvl w:val="1"/>
          <w:numId w:val="1013"/>
        </w:numPr>
      </w:pPr>
      <w:r>
        <w:t xml:space="preserve">Idempotencia y reanudación:</w:t>
      </w:r>
    </w:p>
    <w:p>
      <w:pPr>
        <w:pStyle w:val="Compact"/>
        <w:numPr>
          <w:ilvl w:val="2"/>
          <w:numId w:val="1016"/>
        </w:numPr>
      </w:pPr>
      <w:r>
        <w:rPr>
          <w:rStyle w:val="VerbatimChar"/>
        </w:rPr>
        <w:t xml:space="preserve">unique(periodo, prestacion_id)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LiquidacionDePago</w:t>
      </w:r>
      <w:r>
        <w:t xml:space="preserve">;</w:t>
      </w:r>
      <w:r>
        <w:t xml:space="preserve"> </w:t>
      </w:r>
      <w:r>
        <w:rPr>
          <w:rStyle w:val="VerbatimChar"/>
        </w:rPr>
        <w:t xml:space="preserve">dataset_hash</w:t>
      </w:r>
      <w:r>
        <w:t xml:space="preserve"> </w:t>
      </w:r>
      <w:r>
        <w:t xml:space="preserve">por corrida; reintentos seguros re-ejecutan sin duplicar.</w:t>
      </w:r>
    </w:p>
    <w:p>
      <w:pPr>
        <w:pStyle w:val="Compact"/>
        <w:numPr>
          <w:ilvl w:val="1"/>
          <w:numId w:val="1013"/>
        </w:numPr>
      </w:pPr>
      <w:r>
        <w:t xml:space="preserve">Errores y reintentos:</w:t>
      </w:r>
    </w:p>
    <w:p>
      <w:pPr>
        <w:pStyle w:val="Compact"/>
        <w:numPr>
          <w:ilvl w:val="2"/>
          <w:numId w:val="1017"/>
        </w:numPr>
      </w:pPr>
      <w:r>
        <w:t xml:space="preserve">Backoff exponencial por prestación fallida; mover a tabla de incidencias tras N intentos; continuar el lote.</w:t>
      </w:r>
    </w:p>
    <w:p>
      <w:pPr>
        <w:pStyle w:val="Compact"/>
        <w:numPr>
          <w:ilvl w:val="1"/>
          <w:numId w:val="1013"/>
        </w:numPr>
      </w:pPr>
      <w:r>
        <w:t xml:space="preserve">Observabilidad (métricas/logs):</w:t>
      </w:r>
    </w:p>
    <w:p>
      <w:pPr>
        <w:pStyle w:val="Compact"/>
        <w:numPr>
          <w:ilvl w:val="2"/>
          <w:numId w:val="1018"/>
        </w:numPr>
      </w:pPr>
      <w:r>
        <w:t xml:space="preserve">throughput (casos/min), p95/p99 por caso, errores por tipo, backlog por chunk, lag de outbox; logs con</w:t>
      </w:r>
      <w:r>
        <w:t xml:space="preserve"> </w:t>
      </w:r>
      <w:r>
        <w:rPr>
          <w:rStyle w:val="VerbatimChar"/>
        </w:rPr>
        <w:t xml:space="preserve">correlation_id</w:t>
      </w:r>
      <w:r>
        <w:t xml:space="preserve"> </w:t>
      </w:r>
      <w:r>
        <w:t xml:space="preserve">por prestación.</w:t>
      </w:r>
    </w:p>
    <w:p>
      <w:pPr>
        <w:pStyle w:val="Compact"/>
        <w:numPr>
          <w:ilvl w:val="1"/>
          <w:numId w:val="1013"/>
        </w:numPr>
      </w:pPr>
      <w:r>
        <w:t xml:space="preserve">Estimación de rendimiento:</w:t>
      </w:r>
    </w:p>
    <w:p>
      <w:pPr>
        <w:pStyle w:val="Compact"/>
        <w:numPr>
          <w:ilvl w:val="2"/>
          <w:numId w:val="1019"/>
        </w:numPr>
      </w:pPr>
      <w:r>
        <w:t xml:space="preserve">40 ms/caso en app/DB → 10k en ~6.7 min mono-hilo; con 8 workers: ~1 min (+overhead). Meta conservadora: 2–5 min fin de mes.</w:t>
      </w:r>
    </w:p>
    <w:p>
      <w:pPr>
        <w:pStyle w:val="Compact"/>
        <w:numPr>
          <w:ilvl w:val="0"/>
          <w:numId w:val="1012"/>
        </w:numPr>
      </w:pPr>
      <w:r>
        <w:t xml:space="preserve">Cola “DB-backed” + consumidores</w:t>
      </w:r>
      <w:r>
        <w:t xml:space="preserve"> </w:t>
      </w:r>
      <w:r>
        <w:rPr>
          <w:rStyle w:val="VerbatimChar"/>
        </w:rPr>
        <w:t xml:space="preserve">ace</w:t>
      </w:r>
      <w:r>
        <w:t xml:space="preserve"> </w:t>
      </w:r>
      <w:r>
        <w:t xml:space="preserve">(sin broker externo)</w:t>
      </w:r>
    </w:p>
    <w:p>
      <w:pPr>
        <w:pStyle w:val="Compact"/>
        <w:numPr>
          <w:ilvl w:val="1"/>
          <w:numId w:val="1020"/>
        </w:numPr>
      </w:pPr>
      <w:r>
        <w:t xml:space="preserve">Uso: tabla</w:t>
      </w:r>
      <w:r>
        <w:t xml:space="preserve"> </w:t>
      </w:r>
      <w:r>
        <w:rPr>
          <w:rStyle w:val="VerbatimChar"/>
        </w:rPr>
        <w:t xml:space="preserve">work_items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SELECT ... FOR UPDATE SKIP LOCKED</w:t>
      </w:r>
      <w:r>
        <w:t xml:space="preserve"> </w:t>
      </w:r>
      <w:r>
        <w:t xml:space="preserve">con N procesos</w:t>
      </w:r>
      <w:r>
        <w:t xml:space="preserve"> </w:t>
      </w:r>
      <w:r>
        <w:rPr>
          <w:rStyle w:val="VerbatimChar"/>
        </w:rPr>
        <w:t xml:space="preserve">node ace queue:consume</w:t>
      </w:r>
      <w:r>
        <w:t xml:space="preserve">.</w:t>
      </w:r>
    </w:p>
    <w:p>
      <w:pPr>
        <w:pStyle w:val="Compact"/>
        <w:numPr>
          <w:ilvl w:val="1"/>
          <w:numId w:val="1020"/>
        </w:numPr>
      </w:pPr>
      <w:r>
        <w:t xml:space="preserve">Ventajas: autoscaling simple; reintentos/DLQ en tablas; cero dependencias externas.</w:t>
      </w:r>
    </w:p>
    <w:p>
      <w:pPr>
        <w:pStyle w:val="Compact"/>
        <w:numPr>
          <w:ilvl w:val="0"/>
          <w:numId w:val="1012"/>
        </w:numPr>
      </w:pPr>
      <w:r>
        <w:t xml:space="preserve">Cálculo set-based parcial en DB + Services en app</w:t>
      </w:r>
    </w:p>
    <w:p>
      <w:pPr>
        <w:pStyle w:val="Compact"/>
        <w:numPr>
          <w:ilvl w:val="1"/>
          <w:numId w:val="1021"/>
        </w:numPr>
      </w:pPr>
      <w:r>
        <w:t xml:space="preserve">Uso:</w:t>
      </w:r>
      <w:r>
        <w:t xml:space="preserve"> </w:t>
      </w:r>
      <w:r>
        <w:rPr>
          <w:rStyle w:val="VerbatimChar"/>
        </w:rPr>
        <w:t xml:space="preserve">Database.raw()</w:t>
      </w:r>
      <w:r>
        <w:t xml:space="preserve">/CTEs para PIM/agrupaciones; PLI y reglas condicionales en Services.</w:t>
      </w:r>
    </w:p>
    <w:p>
      <w:pPr>
        <w:pStyle w:val="Compact"/>
        <w:numPr>
          <w:ilvl w:val="1"/>
          <w:numId w:val="1021"/>
        </w:numPr>
      </w:pPr>
      <w:r>
        <w:t xml:space="preserve">Ventajas: reduce ida/vuelta y N+1; mantiene legibilidad de reglas complejas en TS.</w:t>
      </w:r>
    </w:p>
    <w:p>
      <w:pPr>
        <w:pStyle w:val="Compact"/>
        <w:numPr>
          <w:ilvl w:val="0"/>
          <w:numId w:val="1012"/>
        </w:numPr>
      </w:pPr>
      <w:r>
        <w:t xml:space="preserve">Planificación con cron del sistema</w:t>
      </w:r>
    </w:p>
    <w:p>
      <w:pPr>
        <w:pStyle w:val="Compact"/>
        <w:numPr>
          <w:ilvl w:val="1"/>
          <w:numId w:val="1022"/>
        </w:numPr>
      </w:pPr>
      <w:r>
        <w:t xml:space="preserve">Uso: cron →</w:t>
      </w:r>
      <w:r>
        <w:t xml:space="preserve"> </w:t>
      </w:r>
      <w:r>
        <w:rPr>
          <w:rStyle w:val="VerbatimChar"/>
        </w:rPr>
        <w:t xml:space="preserve">node ace pagar:calcular --periodo=AAAAMM</w:t>
      </w:r>
      <w:r>
        <w:t xml:space="preserve"> </w:t>
      </w:r>
      <w:r>
        <w:t xml:space="preserve">(y publicador outbox en segundo plano).</w:t>
      </w:r>
    </w:p>
    <w:bookmarkStart w:id="23" w:name="notas-prácticas-adonisjslucid"/>
    <w:p>
      <w:pPr>
        <w:pStyle w:val="Heading3"/>
      </w:pPr>
      <w:r>
        <w:t xml:space="preserve">Notas prácticas (AdonisJS/Lucid)</w:t>
      </w:r>
    </w:p>
    <w:p>
      <w:pPr>
        <w:pStyle w:val="Compact"/>
        <w:numPr>
          <w:ilvl w:val="0"/>
          <w:numId w:val="1023"/>
        </w:numPr>
      </w:pPr>
      <w:r>
        <w:t xml:space="preserve">Índices:</w:t>
      </w:r>
      <w:r>
        <w:t xml:space="preserve"> </w:t>
      </w:r>
      <w:r>
        <w:rPr>
          <w:rStyle w:val="VerbatimChar"/>
        </w:rPr>
        <w:t xml:space="preserve">prestaciones(estado)</w:t>
      </w:r>
      <w:r>
        <w:t xml:space="preserve">,</w:t>
      </w:r>
      <w:r>
        <w:t xml:space="preserve"> </w:t>
      </w:r>
      <w:r>
        <w:rPr>
          <w:rStyle w:val="VerbatimChar"/>
        </w:rPr>
        <w:t xml:space="preserve">liquidaciones(periodo, prestacion_id)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conceptos(codigo_concepto)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Idempotencia:</w:t>
      </w:r>
      <w:r>
        <w:t xml:space="preserve"> </w:t>
      </w:r>
      <w:r>
        <w:rPr>
          <w:rStyle w:val="VerbatimChar"/>
        </w:rPr>
        <w:t xml:space="preserve">dataset_hash</w:t>
      </w:r>
      <w:r>
        <w:t xml:space="preserve"> </w:t>
      </w:r>
      <w:r>
        <w:t xml:space="preserve">por corrida;</w:t>
      </w:r>
      <w:r>
        <w:t xml:space="preserve"> </w:t>
      </w:r>
      <w:r>
        <w:rPr>
          <w:rStyle w:val="VerbatimChar"/>
        </w:rPr>
        <w:t xml:space="preserve">unique(periodo, prestacion_id)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LiquidacionDePago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Cache en proceso: parámetros normativos/CCL (inmutables durante la corrida).</w:t>
      </w:r>
    </w:p>
    <w:p>
      <w:pPr>
        <w:pStyle w:val="Compact"/>
        <w:numPr>
          <w:ilvl w:val="0"/>
          <w:numId w:val="1023"/>
        </w:numPr>
      </w:pPr>
      <w:r>
        <w:t xml:space="preserve">Outbox: publicar asíncrono; no dentro de la transacción de cálculo.</w:t>
      </w:r>
    </w:p>
    <w:p>
      <w:pPr>
        <w:pStyle w:val="Compact"/>
        <w:numPr>
          <w:ilvl w:val="0"/>
          <w:numId w:val="1023"/>
        </w:numPr>
      </w:pPr>
      <w:r>
        <w:t xml:space="preserve">Evitar: transacciones masivas; N+1 con Lucid; I/O síncrono por fila; publicar eventos en línea durante el cálculo.</w:t>
      </w:r>
    </w:p>
    <w:bookmarkEnd w:id="23"/>
    <w:bookmarkEnd w:id="24"/>
    <w:bookmarkStart w:id="25" w:name="criterios-de-evaluación-aceptación"/>
    <w:p>
      <w:pPr>
        <w:pStyle w:val="Heading2"/>
      </w:pPr>
      <w:r>
        <w:t xml:space="preserve">Criterios de evaluación (aceptación)</w:t>
      </w:r>
    </w:p>
    <w:p>
      <w:pPr>
        <w:pStyle w:val="Compact"/>
        <w:numPr>
          <w:ilvl w:val="0"/>
          <w:numId w:val="1024"/>
        </w:numPr>
      </w:pPr>
      <w:r>
        <w:t xml:space="preserve">Rendimiento: p95 de caso &lt; 50 ms en entorno objetivo; 10k casos en &lt; 5 min end-to-end.</w:t>
      </w:r>
    </w:p>
    <w:p>
      <w:pPr>
        <w:pStyle w:val="Compact"/>
        <w:numPr>
          <w:ilvl w:val="0"/>
          <w:numId w:val="1024"/>
        </w:numPr>
      </w:pPr>
      <w:r>
        <w:t xml:space="preserve">Concurrencia/control: sin deadlocks; lock por lote/periodo; reanudación por chunks.</w:t>
      </w:r>
    </w:p>
    <w:p>
      <w:pPr>
        <w:pStyle w:val="Compact"/>
        <w:numPr>
          <w:ilvl w:val="0"/>
          <w:numId w:val="1024"/>
        </w:numPr>
      </w:pPr>
      <w:r>
        <w:t xml:space="preserve">Idempotencia: sin duplicados de liquidación por (periodo, prestación);</w:t>
      </w:r>
      <w:r>
        <w:t xml:space="preserve"> </w:t>
      </w:r>
      <w:r>
        <w:rPr>
          <w:rStyle w:val="VerbatimChar"/>
        </w:rPr>
        <w:t xml:space="preserve">dataset_hash</w:t>
      </w:r>
      <w:r>
        <w:t xml:space="preserve"> </w:t>
      </w:r>
      <w:r>
        <w:t xml:space="preserve">único.</w:t>
      </w:r>
    </w:p>
    <w:p>
      <w:pPr>
        <w:pStyle w:val="Compact"/>
        <w:numPr>
          <w:ilvl w:val="0"/>
          <w:numId w:val="1024"/>
        </w:numPr>
      </w:pPr>
      <w:r>
        <w:t xml:space="preserve">Auditabilidad: evidencia de</w:t>
      </w:r>
      <w:r>
        <w:t xml:space="preserve"> </w:t>
      </w:r>
      <w:r>
        <w:rPr>
          <w:rStyle w:val="VerbatimChar"/>
        </w:rPr>
        <w:t xml:space="preserve">marco_normativo_id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hash_ejecucion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correlation_id</w:t>
      </w:r>
      <w:r>
        <w:t xml:space="preserve"> </w:t>
      </w:r>
      <w:r>
        <w:t xml:space="preserve">por liquidación.</w:t>
      </w:r>
    </w:p>
    <w:p>
      <w:pPr>
        <w:pStyle w:val="Compact"/>
        <w:numPr>
          <w:ilvl w:val="0"/>
          <w:numId w:val="1024"/>
        </w:numPr>
      </w:pPr>
      <w:r>
        <w:t xml:space="preserve">Operación: DLQ/retry claros; checkpoints y métricas (throughput, backlog, errores) visibles.</w:t>
      </w:r>
    </w:p>
    <w:p>
      <w:pPr>
        <w:pStyle w:val="Compact"/>
        <w:numPr>
          <w:ilvl w:val="0"/>
          <w:numId w:val="1024"/>
        </w:numPr>
      </w:pPr>
      <w:r>
        <w:t xml:space="preserve">Coste/Complejidad: minimizar dependencias nuevas (broker) salvo que el rendimiento lo justifique.</w:t>
      </w:r>
    </w:p>
    <w:bookmarkEnd w:id="25"/>
    <w:bookmarkStart w:id="26" w:name="plan-de-experimentospoc"/>
    <w:p>
      <w:pPr>
        <w:pStyle w:val="Heading2"/>
      </w:pPr>
      <w:r>
        <w:t xml:space="preserve">Plan de experimentos/PoC</w:t>
      </w:r>
    </w:p>
    <w:p>
      <w:pPr>
        <w:pStyle w:val="Compact"/>
        <w:numPr>
          <w:ilvl w:val="0"/>
          <w:numId w:val="1025"/>
        </w:numPr>
      </w:pPr>
      <w:r>
        <w:t xml:space="preserve">Dataset: 10k prestaciones representativas (con 3 perfiles de complejidad de reglas y 10–20 líneas CCL promedio).</w:t>
      </w:r>
    </w:p>
    <w:p>
      <w:pPr>
        <w:pStyle w:val="Compact"/>
        <w:numPr>
          <w:ilvl w:val="0"/>
          <w:numId w:val="1025"/>
        </w:numPr>
      </w:pPr>
      <w:r>
        <w:t xml:space="preserve">Entorno: DB con índices propuestos; app con 8–16 workers; cache in-process de normativa/CCL.</w:t>
      </w:r>
    </w:p>
    <w:p>
      <w:pPr>
        <w:pStyle w:val="Compact"/>
        <w:numPr>
          <w:ilvl w:val="0"/>
          <w:numId w:val="1025"/>
        </w:numPr>
      </w:pPr>
      <w:r>
        <w:t xml:space="preserve">Escenarios:</w:t>
      </w:r>
    </w:p>
    <w:p>
      <w:pPr>
        <w:pStyle w:val="Compact"/>
        <w:numPr>
          <w:ilvl w:val="1"/>
          <w:numId w:val="1026"/>
        </w:numPr>
      </w:pPr>
      <w:r>
        <w:t xml:space="preserve">E1: Shards con chunks de 200/500/1000; medir p95/p99, CPU DB, locks, tasa de errores.</w:t>
      </w:r>
    </w:p>
    <w:p>
      <w:pPr>
        <w:pStyle w:val="Compact"/>
        <w:numPr>
          <w:ilvl w:val="1"/>
          <w:numId w:val="1026"/>
        </w:numPr>
      </w:pPr>
      <w:r>
        <w:t xml:space="preserve">E2: Cola (Rabbit/Kafka) con 16/32 consumers; medir latencia end-to-end y overhead operativo.</w:t>
      </w:r>
    </w:p>
    <w:p>
      <w:pPr>
        <w:pStyle w:val="Compact"/>
        <w:numPr>
          <w:ilvl w:val="1"/>
          <w:numId w:val="1026"/>
        </w:numPr>
      </w:pPr>
      <w:r>
        <w:t xml:space="preserve">E3: PIM set-based vs app; medir ahorro de roundtrips.</w:t>
      </w:r>
    </w:p>
    <w:p>
      <w:pPr>
        <w:pStyle w:val="Compact"/>
        <w:numPr>
          <w:ilvl w:val="0"/>
          <w:numId w:val="1025"/>
        </w:numPr>
      </w:pPr>
      <w:r>
        <w:t xml:space="preserve">Métricas: casos/min, p95/p99 por caso, lag de outbox, I/O por transacción, tasa de reintentos.</w:t>
      </w:r>
    </w:p>
    <w:p>
      <w:pPr>
        <w:pStyle w:val="Compact"/>
        <w:numPr>
          <w:ilvl w:val="0"/>
          <w:numId w:val="1025"/>
        </w:numPr>
      </w:pPr>
      <w:r>
        <w:t xml:space="preserve">Criterio de selección: mejor trade-off que cumpla aceptación con menor complejidad operativa.</w:t>
      </w:r>
    </w:p>
    <w:bookmarkEnd w:id="26"/>
    <w:bookmarkStart w:id="27" w:name="riesgos-y-mitigaciones"/>
    <w:p>
      <w:pPr>
        <w:pStyle w:val="Heading2"/>
      </w:pPr>
      <w:r>
        <w:t xml:space="preserve">Riesgos y mitigaciones</w:t>
      </w:r>
    </w:p>
    <w:p>
      <w:pPr>
        <w:pStyle w:val="Compact"/>
        <w:numPr>
          <w:ilvl w:val="0"/>
          <w:numId w:val="1027"/>
        </w:numPr>
      </w:pPr>
      <w:r>
        <w:t xml:space="preserve">N+1/overhead ORM → precargas/set-based, bulk insert, COPY para líneas CCL.</w:t>
      </w:r>
    </w:p>
    <w:p>
      <w:pPr>
        <w:pStyle w:val="Compact"/>
        <w:numPr>
          <w:ilvl w:val="0"/>
          <w:numId w:val="1027"/>
        </w:numPr>
      </w:pPr>
      <w:r>
        <w:t xml:space="preserve">Transacciones largas → 1 transacción por prestación; evitar transacciones masivas.</w:t>
      </w:r>
    </w:p>
    <w:p>
      <w:pPr>
        <w:pStyle w:val="Compact"/>
        <w:numPr>
          <w:ilvl w:val="0"/>
          <w:numId w:val="1027"/>
        </w:numPr>
      </w:pPr>
      <w:r>
        <w:t xml:space="preserve">Contención/locks → particionar por shard; orden estable de procesamiento; índices adecuados.</w:t>
      </w:r>
    </w:p>
    <w:p>
      <w:pPr>
        <w:pStyle w:val="Compact"/>
        <w:numPr>
          <w:ilvl w:val="0"/>
          <w:numId w:val="1027"/>
        </w:numPr>
      </w:pPr>
      <w:r>
        <w:t xml:space="preserve">Picos de I/O en outbox → publicar asíncrono post-cálculo; backpressure en publicador.</w:t>
      </w:r>
    </w:p>
    <w:bookmarkEnd w:id="27"/>
    <w:bookmarkStart w:id="28" w:name="consecuencias-a-completar-tras-decisión"/>
    <w:p>
      <w:pPr>
        <w:pStyle w:val="Heading2"/>
      </w:pPr>
      <w:r>
        <w:t xml:space="preserve">Consecuencias (a completar tras decisión)</w:t>
      </w:r>
    </w:p>
    <w:p>
      <w:pPr>
        <w:pStyle w:val="Compact"/>
        <w:numPr>
          <w:ilvl w:val="0"/>
          <w:numId w:val="1028"/>
        </w:numPr>
      </w:pPr>
      <w:r>
        <w:t xml:space="preserve">Impacto en operación (runbooks, DLQ), observabilidad, y costos de infraestructura.</w:t>
      </w:r>
    </w:p>
    <w:bookmarkEnd w:id="28"/>
    <w:bookmarkStart w:id="29" w:name="próximos-pasos"/>
    <w:p>
      <w:pPr>
        <w:pStyle w:val="Heading2"/>
      </w:pPr>
      <w:r>
        <w:t xml:space="preserve">Próximos pasos</w:t>
      </w:r>
    </w:p>
    <w:p>
      <w:pPr>
        <w:pStyle w:val="Compact"/>
        <w:numPr>
          <w:ilvl w:val="0"/>
          <w:numId w:val="1029"/>
        </w:numPr>
      </w:pPr>
      <w:r>
        <w:t xml:space="preserve">Ejecutar PoCs E1–E3, recoger métricas y documentar resultados.</w:t>
      </w:r>
    </w:p>
    <w:p>
      <w:pPr>
        <w:pStyle w:val="Compact"/>
        <w:numPr>
          <w:ilvl w:val="0"/>
          <w:numId w:val="1029"/>
        </w:numPr>
      </w:pPr>
      <w:r>
        <w:t xml:space="preserve">Redactar ADR final (Accepted) con la alternativa elegida y parámetros (N workers, tamaño de chunk, índices).</w:t>
      </w:r>
    </w:p>
    <w:p>
      <w:pPr>
        <w:pStyle w:val="Compact"/>
        <w:numPr>
          <w:ilvl w:val="0"/>
          <w:numId w:val="1029"/>
        </w:numPr>
      </w:pPr>
      <w:r>
        <w:t xml:space="preserve">Actualizar</w:t>
      </w:r>
      <w:r>
        <w:t xml:space="preserve"> </w:t>
      </w:r>
      <w:r>
        <w:rPr>
          <w:rStyle w:val="VerbatimChar"/>
        </w:rPr>
        <w:t xml:space="preserve">tech/especificacion/operacion/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performance/</w:t>
      </w:r>
      <w:r>
        <w:t xml:space="preserve"> </w:t>
      </w:r>
      <w:r>
        <w:t xml:space="preserve">con recetas y SLOs.</w:t>
      </w:r>
    </w:p>
    <w:bookmarkEnd w:id="29"/>
    <w:bookmarkStart w:id="30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30"/>
        </w:numPr>
      </w:pPr>
      <w:r>
        <w:t xml:space="preserve">ADR-002: CRUD + eventos + auditoría</w:t>
      </w:r>
    </w:p>
    <w:p>
      <w:pPr>
        <w:pStyle w:val="Compact"/>
        <w:numPr>
          <w:ilvl w:val="0"/>
          <w:numId w:val="1030"/>
        </w:numPr>
      </w:pPr>
      <w:r>
        <w:t xml:space="preserve">ADR-008: AdonisJS 6 como framework base</w:t>
      </w:r>
    </w:p>
    <w:p>
      <w:pPr>
        <w:pStyle w:val="Compact"/>
        <w:numPr>
          <w:ilvl w:val="0"/>
          <w:numId w:val="1030"/>
        </w:numPr>
      </w:pPr>
      <w:r>
        <w:t xml:space="preserve">evaluacion_diseno.md: §3.4 Despliegue, §4.5 Operación, §4.8 Performance</w:t>
      </w:r>
    </w:p>
    <w:p>
      <w:pPr>
        <w:pStyle w:val="Compact"/>
        <w:numPr>
          <w:ilvl w:val="0"/>
          <w:numId w:val="1030"/>
        </w:numPr>
      </w:pPr>
      <w:r>
        <w:t xml:space="preserve">arc42: §6 (Runtime), §7 (Despliegue), §10 (Calidad)</w:t>
      </w:r>
    </w:p>
    <w:bookmarkEnd w:id="30"/>
    <w:bookmarkEnd w:id="31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2025-08-12T11:50:46Z</dcterms:created>
  <dcterms:modified xsi:type="dcterms:W3CDTF">2025-08-12T11:50:46Z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