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5d6d8c9be7368ec04301fe76ad064b4134c4a5"/>
    <w:p>
      <w:pPr>
        <w:pStyle w:val="Heading1"/>
      </w:pPr>
      <w:r>
        <w:t xml:space="preserve">ADR-011: Estrategia de Pirámide de Tests (SQLite para rápidos; Postgres para E2E)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Necesitamos validar calidad funcional y reproducibilidad normativa con ciclos de feedback rápidos sin sacrificar realismo en escenarios E2E. El stack es AdonisJS 6 con Lucid, escenarios de verificación con golden sets, idempotencia/locking, y cálculos financieros (PIM/PLI) sensibles a precisión y concurrencia. Probar todo contra la misma base de datos de producción mejora paridad, pero ralentiza el ciclo de desarrollo y no es necesario para todas las capas.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2"/>
        </w:numPr>
      </w:pPr>
      <w:r>
        <w:t xml:space="preserve">Adoptar una pirámide de tests con motores diferenciados:</w:t>
      </w:r>
    </w:p>
    <w:p>
      <w:pPr>
        <w:pStyle w:val="Compact"/>
        <w:numPr>
          <w:ilvl w:val="1"/>
          <w:numId w:val="1003"/>
        </w:numPr>
      </w:pPr>
      <w:r>
        <w:t xml:space="preserve">Unit y funcional/servicios: SQLite (in-memory/archivo temporal) usando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con PRAGMAs (WAL, busy_timeout, foreign_keys, synchronous=NORMAL).</w:t>
      </w:r>
    </w:p>
    <w:p>
      <w:pPr>
        <w:pStyle w:val="Compact"/>
        <w:numPr>
          <w:ilvl w:val="1"/>
          <w:numId w:val="1003"/>
        </w:numPr>
      </w:pPr>
      <w:r>
        <w:t xml:space="preserve">E2E/escenarios, migraciones/esquema y performance smoke: Postgres equivalente a producción (Docker/Testcontainers), con migraciones reales y seeds/golden sets.</w:t>
      </w:r>
    </w:p>
    <w:p>
      <w:pPr>
        <w:pStyle w:val="Compact"/>
        <w:numPr>
          <w:ilvl w:val="0"/>
          <w:numId w:val="1002"/>
        </w:numPr>
      </w:pPr>
      <w:r>
        <w:t xml:space="preserve">Mantener dos conexiones en</w:t>
      </w:r>
      <w:r>
        <w:t xml:space="preserve"> </w:t>
      </w:r>
      <w:r>
        <w:rPr>
          <w:rStyle w:val="VerbatimChar"/>
        </w:rPr>
        <w:t xml:space="preserve">config/database.ts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pg</w:t>
      </w:r>
      <w:r>
        <w:t xml:space="preserve">) y seleccionar por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/entorno de test.</w:t>
      </w:r>
    </w:p>
    <w:p>
      <w:pPr>
        <w:pStyle w:val="Compact"/>
        <w:numPr>
          <w:ilvl w:val="0"/>
          <w:numId w:val="1002"/>
        </w:numPr>
      </w:pPr>
      <w:r>
        <w:t xml:space="preserve">Estándares: montos en enteros, golden sets deterministas, verificación de idempotencia (</w:t>
      </w:r>
      <w:r>
        <w:rPr>
          <w:rStyle w:val="VerbatimChar"/>
        </w:rPr>
        <w:t xml:space="preserve">unique(periodo, prestacion_id)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) y</w:t>
      </w:r>
      <w:r>
        <w:t xml:space="preserve"> </w:t>
      </w:r>
      <w:r>
        <w:rPr>
          <w:rStyle w:val="VerbatimChar"/>
        </w:rPr>
        <w:t xml:space="preserve">job_locks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CI: pipeline rápido por PR (unit+funcional SQLite) y pipeline completo (E2E+migraciones Postgres, opcional performance smoke) por etiqueta o nightly.</w:t>
      </w:r>
    </w:p>
    <w:p>
      <w:pPr>
        <w:pStyle w:val="Compact"/>
        <w:numPr>
          <w:ilvl w:val="0"/>
          <w:numId w:val="1002"/>
        </w:numPr>
      </w:pPr>
      <w:r>
        <w:t xml:space="preserve">Smoke BDD por PR: ejecutar escenarios etiquetados</w:t>
      </w:r>
      <w:r>
        <w:t xml:space="preserve"> </w:t>
      </w:r>
      <w:r>
        <w:rPr>
          <w:rStyle w:val="VerbatimChar"/>
        </w:rPr>
        <w:t xml:space="preserve">@SMOKE</w:t>
      </w:r>
      <w:r>
        <w:t xml:space="preserve"> </w:t>
      </w:r>
      <w:r>
        <w:t xml:space="preserve">en SQLite, validando schema de salida y cobertura mínima</w:t>
      </w:r>
      <w:r>
        <w:t xml:space="preserve"> </w:t>
      </w:r>
      <w:r>
        <w:rPr>
          <w:rStyle w:val="VerbatimChar"/>
        </w:rPr>
        <w:t xml:space="preserve">coverage.*</w:t>
      </w:r>
      <w:r>
        <w:t xml:space="preserve"> </w:t>
      </w:r>
      <w:r>
        <w:t xml:space="preserve">(EDN/RDN) sin comparación de montos.</w:t>
      </w:r>
    </w:p>
    <w:p>
      <w:pPr>
        <w:pStyle w:val="Compact"/>
        <w:numPr>
          <w:ilvl w:val="0"/>
          <w:numId w:val="1002"/>
        </w:numPr>
      </w:pPr>
      <w:r>
        <w:t xml:space="preserve">Full BDD (nightly/etiqueta): ejecutar escenarios completos en Postgres (Testcontainers), con comparación contra golden sets, idempotencia y verificación de no concurrencia/outbox.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4"/>
        </w:numPr>
      </w:pPr>
      <w:r>
        <w:t xml:space="preserve">Un solo motor (Postgres) para todos los tests</w:t>
      </w:r>
    </w:p>
    <w:p>
      <w:pPr>
        <w:pStyle w:val="Compact"/>
        <w:numPr>
          <w:ilvl w:val="0"/>
          <w:numId w:val="1005"/>
        </w:numPr>
      </w:pPr>
      <w:r>
        <w:t xml:space="preserve">Pros: máxima paridad con producción.</w:t>
      </w:r>
    </w:p>
    <w:p>
      <w:pPr>
        <w:pStyle w:val="Compact"/>
        <w:numPr>
          <w:ilvl w:val="0"/>
          <w:numId w:val="1005"/>
        </w:numPr>
      </w:pPr>
      <w:r>
        <w:t xml:space="preserve">Contras: feedback lento; sobrecarga de infra en dev/CI; fricción para TDD.</w:t>
      </w:r>
    </w:p>
    <w:p>
      <w:pPr>
        <w:pStyle w:val="Compact"/>
        <w:numPr>
          <w:ilvl w:val="0"/>
          <w:numId w:val="1006"/>
        </w:numPr>
      </w:pPr>
      <w:r>
        <w:t xml:space="preserve">Un solo motor (SQLite) para todos los tests</w:t>
      </w:r>
    </w:p>
    <w:p>
      <w:pPr>
        <w:pStyle w:val="Compact"/>
        <w:numPr>
          <w:ilvl w:val="0"/>
          <w:numId w:val="1007"/>
        </w:numPr>
      </w:pPr>
      <w:r>
        <w:t xml:space="preserve">Pros: máxima velocidad y simplicidad.</w:t>
      </w:r>
    </w:p>
    <w:p>
      <w:pPr>
        <w:pStyle w:val="Compact"/>
        <w:numPr>
          <w:ilvl w:val="0"/>
          <w:numId w:val="1007"/>
        </w:numPr>
      </w:pPr>
      <w:r>
        <w:t xml:space="preserve">Contras: falsos verdes por diferencias de dialécto/locking/precisión; riesgo en migraciones y concurrencia real.</w:t>
      </w:r>
    </w:p>
    <w:p>
      <w:pPr>
        <w:pStyle w:val="Compact"/>
        <w:numPr>
          <w:ilvl w:val="0"/>
          <w:numId w:val="1008"/>
        </w:numPr>
      </w:pPr>
      <w:r>
        <w:t xml:space="preserve">Mocks/stubs extensivos sin DB</w:t>
      </w:r>
    </w:p>
    <w:p>
      <w:pPr>
        <w:pStyle w:val="Compact"/>
        <w:numPr>
          <w:ilvl w:val="0"/>
          <w:numId w:val="1009"/>
        </w:numPr>
      </w:pPr>
      <w:r>
        <w:t xml:space="preserve">Pros: ultra rápido; pruebas puras.</w:t>
      </w:r>
    </w:p>
    <w:p>
      <w:pPr>
        <w:pStyle w:val="Compact"/>
        <w:numPr>
          <w:ilvl w:val="0"/>
          <w:numId w:val="1009"/>
        </w:numPr>
      </w:pPr>
      <w:r>
        <w:t xml:space="preserve">Contras: baja confianza para escenarios E2E, cálculos y persistencia real.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10"/>
        </w:numPr>
      </w:pPr>
      <w:r>
        <w:t xml:space="preserve">(+) Ciclo de feedback rápido en dev; pruebas realistas donde importa (E2E, migraciones, performance).</w:t>
      </w:r>
    </w:p>
    <w:p>
      <w:pPr>
        <w:pStyle w:val="Compact"/>
        <w:numPr>
          <w:ilvl w:val="0"/>
          <w:numId w:val="1010"/>
        </w:numPr>
      </w:pPr>
      <w:r>
        <w:t xml:space="preserve">(+) Reducción de falsos verdes al exigir Postgres en capas sensibles (concurrencia/precisión).</w:t>
      </w:r>
    </w:p>
    <w:p>
      <w:pPr>
        <w:pStyle w:val="Compact"/>
        <w:numPr>
          <w:ilvl w:val="0"/>
          <w:numId w:val="1010"/>
        </w:numPr>
      </w:pPr>
      <w:r>
        <w:t xml:space="preserve">(–) Mayor complejidad de configuración (dos motores, bootstrap distinto).</w:t>
      </w:r>
    </w:p>
    <w:p>
      <w:pPr>
        <w:pStyle w:val="Compact"/>
        <w:numPr>
          <w:ilvl w:val="0"/>
          <w:numId w:val="1010"/>
        </w:numPr>
      </w:pPr>
      <w:r>
        <w:t xml:space="preserve">(–) Disciplina para no introducir SQL específico del motor en capas rápidas sin cobertura E2E.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11"/>
        </w:numPr>
      </w:pPr>
      <w:r>
        <w:t xml:space="preserve">Crear</w:t>
      </w:r>
      <w:r>
        <w:t xml:space="preserve"> </w:t>
      </w:r>
      <w:r>
        <w:rPr>
          <w:rStyle w:val="VerbatimChar"/>
        </w:rPr>
        <w:t xml:space="preserve">3_especificacion_tecnica/pruebas/00_piramide_tests.md</w:t>
      </w:r>
      <w:r>
        <w:t xml:space="preserve"> </w:t>
      </w:r>
      <w:r>
        <w:t xml:space="preserve">con guía operativa (hecho).</w:t>
      </w:r>
    </w:p>
    <w:p>
      <w:pPr>
        <w:pStyle w:val="Compact"/>
        <w:numPr>
          <w:ilvl w:val="0"/>
          <w:numId w:val="1011"/>
        </w:numPr>
      </w:pPr>
      <w:r>
        <w:t xml:space="preserve">Configurar</w:t>
      </w:r>
      <w:r>
        <w:t xml:space="preserve"> </w:t>
      </w:r>
      <w:r>
        <w:rPr>
          <w:rStyle w:val="VerbatimChar"/>
        </w:rPr>
        <w:t xml:space="preserve">config/database.ts</w:t>
      </w:r>
      <w:r>
        <w:t xml:space="preserve"> </w:t>
      </w:r>
      <w:r>
        <w:t xml:space="preserve">con conexiones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(better-sqlite3 + PRAGMAs) y</w:t>
      </w:r>
      <w:r>
        <w:t xml:space="preserve"> </w:t>
      </w:r>
      <w:r>
        <w:rPr>
          <w:rStyle w:val="VerbatimChar"/>
        </w:rPr>
        <w:t xml:space="preserve">pg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Bootstrap Japa: migraciones/transacciones para SQLite; orquestación Postgres para E2E (Docker/Testcontainers).</w:t>
      </w:r>
    </w:p>
    <w:p>
      <w:pPr>
        <w:pStyle w:val="Compact"/>
        <w:numPr>
          <w:ilvl w:val="0"/>
          <w:numId w:val="1011"/>
        </w:numPr>
      </w:pPr>
      <w:r>
        <w:t xml:space="preserve">Definir estructura de golden sets y seeds con IDs estables; validar idempotencia y locking en E2E.</w:t>
      </w:r>
    </w:p>
    <w:p>
      <w:pPr>
        <w:pStyle w:val="Compact"/>
        <w:numPr>
          <w:ilvl w:val="0"/>
          <w:numId w:val="1011"/>
        </w:numPr>
      </w:pPr>
      <w:r>
        <w:t xml:space="preserve">Ajustar CI: job rápido (SQLite) por PR y job completo (Postgres) por etiqueta/nightly.</w:t>
      </w:r>
    </w:p>
    <w:bookmarkEnd w:id="24"/>
    <w:bookmarkStart w:id="2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3_especificacion_tecnica/pruebas/00_piramide_tests.md</w:t>
      </w:r>
    </w:p>
    <w:p>
      <w:pPr>
        <w:pStyle w:val="Compact"/>
        <w:numPr>
          <w:ilvl w:val="0"/>
          <w:numId w:val="1012"/>
        </w:numPr>
      </w:pPr>
      <w:r>
        <w:t xml:space="preserve">ADR-009: Invocación interna de PDN (IoC Services + Commands/Jobs)</w:t>
      </w:r>
    </w:p>
    <w:p>
      <w:pPr>
        <w:pStyle w:val="Compact"/>
        <w:numPr>
          <w:ilvl w:val="0"/>
          <w:numId w:val="1012"/>
        </w:numPr>
      </w:pPr>
      <w:r>
        <w:t xml:space="preserve">ADR-010: Estrategia de ejecución masiva de liquidaciones de fin de mes</w:t>
      </w:r>
    </w:p>
    <w:p>
      <w:pPr>
        <w:pStyle w:val="Compact"/>
        <w:numPr>
          <w:ilvl w:val="0"/>
          <w:numId w:val="1012"/>
        </w:numPr>
      </w:pPr>
      <w:r>
        <w:t xml:space="preserve">arc42 §10 (Calidad), §6 (Runtime)</w:t>
      </w:r>
    </w:p>
    <w:bookmarkEnd w:id="25"/>
    <w:bookmarkEnd w:id="2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