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533c2af8a9508c3b2447cf387ddcac21866cf49"/>
    <w:p>
      <w:pPr>
        <w:pStyle w:val="Heading1"/>
      </w:pPr>
      <w:r>
        <w:t xml:space="preserve">ADR-012: Plataforma separada de escenarios para validación temprana de MDLO, generación de bundles y borradores BDD (AdonisJS)</w:t>
      </w:r>
    </w:p>
    <w:p>
      <w:pPr>
        <w:pStyle w:val="Compact"/>
        <w:numPr>
          <w:ilvl w:val="0"/>
          <w:numId w:val="1001"/>
        </w:numPr>
      </w:pPr>
      <w:r>
        <w:t xml:space="preserve">Estado: Propuesta</w:t>
      </w:r>
    </w:p>
    <w:p>
      <w:pPr>
        <w:pStyle w:val="Compact"/>
        <w:numPr>
          <w:ilvl w:val="0"/>
          <w:numId w:val="1001"/>
        </w:numPr>
      </w:pPr>
      <w:r>
        <w:t xml:space="preserve">Fecha: 2025-08-09</w:t>
      </w:r>
    </w:p>
    <w:p>
      <w:pPr>
        <w:pStyle w:val="Compact"/>
        <w:numPr>
          <w:ilvl w:val="0"/>
          <w:numId w:val="1001"/>
        </w:numPr>
      </w:pPr>
      <w:r>
        <w:t xml:space="preserve">Deciders: Javier Errazuriz</w:t>
      </w:r>
    </w:p>
    <w:p>
      <w:pPr>
        <w:pStyle w:val="Compact"/>
        <w:numPr>
          <w:ilvl w:val="0"/>
          <w:numId w:val="1001"/>
        </w:numPr>
      </w:pPr>
      <w:r>
        <w:t xml:space="preserve">Authors: Javier Errazuriz</w:t>
      </w:r>
    </w:p>
    <w:bookmarkStart w:id="20" w:name="contexto"/>
    <w:p>
      <w:pPr>
        <w:pStyle w:val="Heading2"/>
      </w:pPr>
      <w:r>
        <w:t xml:space="preserve">Contexto</w:t>
      </w:r>
    </w:p>
    <w:p>
      <w:pPr>
        <w:pStyle w:val="FirstParagraph"/>
      </w:pPr>
      <w:r>
        <w:t xml:space="preserve">Antes de construir capacidades completas, queremos una etapa inicial enfocada en validar el MDLO (entidades/procesos/reglas) y producir golden sets confiables. Se propone una app AdonisJS separada y ligera (</w:t>
      </w:r>
      <w:r>
        <w:t xml:space="preserve">“plataforma de escenarios”</w:t>
      </w:r>
      <w:r>
        <w:t xml:space="preserve">) que:</w:t>
      </w:r>
      <w:r>
        <w:t xml:space="preserve"> </w:t>
      </w:r>
      <w:r>
        <w:t xml:space="preserve">- Ejecute procesos PDN en “modo smoke/visualización” (sin outbox ni integraciones) para demostrar el flujo y salidas.</w:t>
      </w:r>
      <w:r>
        <w:t xml:space="preserve"> </w:t>
      </w:r>
      <w:r>
        <w:t xml:space="preserve">- Genere bundles reutilizables (manifest + seed.sql + expected/*.json) para E2E de la app principal.</w:t>
      </w:r>
      <w:r>
        <w:t xml:space="preserve"> </w:t>
      </w:r>
      <w:r>
        <w:t xml:space="preserve">- Asista la creación de borradores de features Gherkin (BDD) a partir de los bundles, para revisión/edición por negocio (ver ADR-013).</w:t>
      </w:r>
    </w:p>
    <w:p>
      <w:pPr>
        <w:pStyle w:val="BodyText"/>
      </w:pPr>
      <w:r>
        <w:t xml:space="preserve">Esto reduce riesgo, acelera alineamiento con negocio y crea artefactos directamente consumibles por el pipeline de pruebas.</w:t>
      </w:r>
    </w:p>
    <w:bookmarkEnd w:id="20"/>
    <w:bookmarkStart w:id="21" w:name="pregunta-de-decisión"/>
    <w:p>
      <w:pPr>
        <w:pStyle w:val="Heading2"/>
      </w:pPr>
      <w:r>
        <w:t xml:space="preserve">Pregunta de decisión</w:t>
      </w:r>
    </w:p>
    <w:p>
      <w:pPr>
        <w:pStyle w:val="FirstParagraph"/>
      </w:pPr>
      <w:r>
        <w:t xml:space="preserve">¿Adoptar una app AdonisJS separada para validación temprana de MDLO, con ejecución smoke de PDN, generación de bundles para E2E y borradores BDD, manteniendo aislamiento total de la app principal?</w:t>
      </w:r>
    </w:p>
    <w:bookmarkEnd w:id="21"/>
    <w:bookmarkStart w:id="22" w:name="alternativas-consideradas"/>
    <w:p>
      <w:pPr>
        <w:pStyle w:val="Heading2"/>
      </w:pPr>
      <w:r>
        <w:t xml:space="preserve">Alternativas consideradas</w:t>
      </w:r>
    </w:p>
    <w:p>
      <w:pPr>
        <w:pStyle w:val="Compact"/>
        <w:numPr>
          <w:ilvl w:val="0"/>
          <w:numId w:val="1002"/>
        </w:numPr>
      </w:pPr>
      <w:r>
        <w:t xml:space="preserve">App separada (AdonisJS) con DB propia (propuesta)</w:t>
      </w:r>
    </w:p>
    <w:p>
      <w:pPr>
        <w:pStyle w:val="Compact"/>
        <w:numPr>
          <w:ilvl w:val="0"/>
          <w:numId w:val="1003"/>
        </w:numPr>
      </w:pPr>
      <w:r>
        <w:t xml:space="preserve">Pros: aislamiento total; cero side-effects en producción; puede escalar/verificarse independiente; facilita PoCs de rendimiento; genera bundles y borradores BDD.</w:t>
      </w:r>
    </w:p>
    <w:p>
      <w:pPr>
        <w:pStyle w:val="Compact"/>
        <w:numPr>
          <w:ilvl w:val="0"/>
          <w:numId w:val="1003"/>
        </w:numPr>
      </w:pPr>
      <w:r>
        <w:t xml:space="preserve">Contras: segunda app/DB para operar; sincronización de versiones de artefactos/reglas; mayor mantenimiento.</w:t>
      </w:r>
    </w:p>
    <w:p>
      <w:pPr>
        <w:pStyle w:val="Compact"/>
        <w:numPr>
          <w:ilvl w:val="0"/>
          <w:numId w:val="1004"/>
        </w:numPr>
      </w:pPr>
      <w:r>
        <w:t xml:space="preserve">Funcionalidad interna (modo simulación) en el sistema principal</w:t>
      </w:r>
    </w:p>
    <w:p>
      <w:pPr>
        <w:pStyle w:val="Compact"/>
        <w:numPr>
          <w:ilvl w:val="0"/>
          <w:numId w:val="1005"/>
        </w:numPr>
      </w:pPr>
      <w:r>
        <w:t xml:space="preserve">Pros: máxima paridad con runtime real; reutiliza íntegramente servicios y config.</w:t>
      </w:r>
    </w:p>
    <w:p>
      <w:pPr>
        <w:pStyle w:val="Compact"/>
        <w:numPr>
          <w:ilvl w:val="0"/>
          <w:numId w:val="1005"/>
        </w:numPr>
      </w:pPr>
      <w:r>
        <w:t xml:space="preserve">Contras: riesgo de contaminación si el aislamiento falla; complejidad para desactivar outbox/externos; ventanas operativas.</w:t>
      </w:r>
    </w:p>
    <w:p>
      <w:pPr>
        <w:pStyle w:val="Compact"/>
        <w:numPr>
          <w:ilvl w:val="0"/>
          <w:numId w:val="1006"/>
        </w:numPr>
      </w:pPr>
      <w:r>
        <w:t xml:space="preserve">Factories/seeders únicamente en el monolito + snapshots DB</w:t>
      </w:r>
    </w:p>
    <w:p>
      <w:pPr>
        <w:pStyle w:val="Compact"/>
        <w:numPr>
          <w:ilvl w:val="0"/>
          <w:numId w:val="1007"/>
        </w:numPr>
      </w:pPr>
      <w:r>
        <w:t xml:space="preserve">Pros: simplicidad; menos moving parts; sin segunda app.</w:t>
      </w:r>
    </w:p>
    <w:p>
      <w:pPr>
        <w:pStyle w:val="Compact"/>
        <w:numPr>
          <w:ilvl w:val="0"/>
          <w:numId w:val="1007"/>
        </w:numPr>
      </w:pPr>
      <w:r>
        <w:t xml:space="preserve">Contras: suites E2E más lentas y acopladas; menor flexibilidad para generar bundles reutilizables; difícil gobernanza.</w:t>
      </w:r>
    </w:p>
    <w:p>
      <w:pPr>
        <w:pStyle w:val="Compact"/>
        <w:numPr>
          <w:ilvl w:val="0"/>
          <w:numId w:val="1008"/>
        </w:numPr>
      </w:pPr>
      <w:r>
        <w:t xml:space="preserve">Scripts offline (CLI) sin servidor</w:t>
      </w:r>
    </w:p>
    <w:p>
      <w:pPr>
        <w:pStyle w:val="Compact"/>
        <w:numPr>
          <w:ilvl w:val="0"/>
          <w:numId w:val="1009"/>
        </w:numPr>
      </w:pPr>
      <w:r>
        <w:t xml:space="preserve">Pros: muy bajo costo operativo; fácil de correr en CI.</w:t>
      </w:r>
    </w:p>
    <w:p>
      <w:pPr>
        <w:pStyle w:val="Compact"/>
        <w:numPr>
          <w:ilvl w:val="0"/>
          <w:numId w:val="1009"/>
        </w:numPr>
      </w:pPr>
      <w:r>
        <w:t xml:space="preserve">Contras: menos ergonomía; evoluciona en paralelo sin interfaz; difícil multiusuario.</w:t>
      </w:r>
    </w:p>
    <w:p>
      <w:pPr>
        <w:pStyle w:val="Compact"/>
        <w:numPr>
          <w:ilvl w:val="0"/>
          <w:numId w:val="1010"/>
        </w:numPr>
      </w:pPr>
      <w:r>
        <w:t xml:space="preserve">App separada minimalista con lógica independiente (sin paquete compartido)</w:t>
      </w:r>
    </w:p>
    <w:p>
      <w:pPr>
        <w:pStyle w:val="Compact"/>
        <w:numPr>
          <w:ilvl w:val="0"/>
          <w:numId w:val="1011"/>
        </w:numPr>
      </w:pPr>
      <w:r>
        <w:t xml:space="preserve">Pros: máxima simplicidad y autonomía de la app de escenarios; cero dependencia de versiones internas del monolito; tiempo de puesta en marcha corto.</w:t>
      </w:r>
    </w:p>
    <w:p>
      <w:pPr>
        <w:pStyle w:val="Compact"/>
        <w:numPr>
          <w:ilvl w:val="0"/>
          <w:numId w:val="1011"/>
        </w:numPr>
      </w:pPr>
      <w:r>
        <w:t xml:space="preserve">Contras: drift de lógica inevitable; duplicación de reglas (PIM/PLI/CCL) y riesgo de divergencia; la equivalencia debe validarse vía contratos/bundles, no por reutilización de código.</w:t>
      </w:r>
    </w:p>
    <w:bookmarkEnd w:id="22"/>
    <w:bookmarkStart w:id="23" w:name="diseño-propuesto-app-separada"/>
    <w:p>
      <w:pPr>
        <w:pStyle w:val="Heading2"/>
      </w:pPr>
      <w:r>
        <w:t xml:space="preserve">Diseño propuesto (App separada)</w:t>
      </w:r>
    </w:p>
    <w:p>
      <w:pPr>
        <w:pStyle w:val="Compact"/>
        <w:numPr>
          <w:ilvl w:val="0"/>
          <w:numId w:val="1012"/>
        </w:numPr>
      </w:pPr>
      <w:r>
        <w:t xml:space="preserve">Paquete de dominio compartido (preferente) o lógica focalizada (alternativa 5), según trade-off.</w:t>
      </w:r>
    </w:p>
    <w:p>
      <w:pPr>
        <w:pStyle w:val="Compact"/>
        <w:numPr>
          <w:ilvl w:val="0"/>
          <w:numId w:val="1012"/>
        </w:numPr>
      </w:pPr>
      <w:r>
        <w:t xml:space="preserve">Base de datos: Postgres propio (lectura/escritura); opcional conexión read-only a réplica para muestrear y materializar datos al sandbox.</w:t>
      </w:r>
    </w:p>
    <w:p>
      <w:pPr>
        <w:pStyle w:val="Compact"/>
        <w:numPr>
          <w:ilvl w:val="0"/>
          <w:numId w:val="1012"/>
        </w:numPr>
      </w:pPr>
      <w:r>
        <w:t xml:space="preserve">Aislamiento:</w:t>
      </w:r>
      <w:r>
        <w:t xml:space="preserve"> </w:t>
      </w:r>
      <w:r>
        <w:rPr>
          <w:rStyle w:val="VerbatimChar"/>
        </w:rPr>
        <w:t xml:space="preserve">ScenarioWorkspace</w:t>
      </w:r>
      <w:r>
        <w:t xml:space="preserve"> </w:t>
      </w:r>
      <w:r>
        <w:t xml:space="preserve">(schema</w:t>
      </w:r>
      <w:r>
        <w:t xml:space="preserve"> </w:t>
      </w:r>
      <w:r>
        <w:rPr>
          <w:rStyle w:val="VerbatimChar"/>
        </w:rPr>
        <w:t xml:space="preserve">scenario_&lt;uuid&gt;</w:t>
      </w:r>
      <w:r>
        <w:t xml:space="preserve">);</w:t>
      </w:r>
      <w:r>
        <w:t xml:space="preserve"> </w:t>
      </w:r>
      <w:r>
        <w:rPr>
          <w:rStyle w:val="VerbatimChar"/>
        </w:rPr>
        <w:t xml:space="preserve">search_path</w:t>
      </w:r>
      <w:r>
        <w:t xml:space="preserve"> </w:t>
      </w:r>
      <w:r>
        <w:t xml:space="preserve">por escenario.</w:t>
      </w:r>
    </w:p>
    <w:p>
      <w:pPr>
        <w:pStyle w:val="Compact"/>
        <w:numPr>
          <w:ilvl w:val="0"/>
          <w:numId w:val="1012"/>
        </w:numPr>
      </w:pPr>
      <w:r>
        <w:t xml:space="preserve">Modo simulación: publicador outbox no-op (no hace nada); integraciones deshabilitadas;</w:t>
      </w:r>
      <w:r>
        <w:t xml:space="preserve"> </w:t>
      </w:r>
      <w:r>
        <w:rPr>
          <w:rStyle w:val="VerbatimChar"/>
        </w:rPr>
        <w:t xml:space="preserve">AppAudit.simulation=true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UI mínima opcional: vistas/JSON para visualizar entradas/salidas (smoke) de PDN seleccionados.</w:t>
      </w:r>
    </w:p>
    <w:p>
      <w:pPr>
        <w:pStyle w:val="Compact"/>
        <w:numPr>
          <w:ilvl w:val="0"/>
          <w:numId w:val="1012"/>
        </w:numPr>
      </w:pPr>
      <w:r>
        <w:t xml:space="preserve">Generación de artefactos:</w:t>
      </w:r>
    </w:p>
    <w:p>
      <w:pPr>
        <w:pStyle w:val="Compact"/>
        <w:numPr>
          <w:ilvl w:val="0"/>
          <w:numId w:val="1012"/>
        </w:numPr>
      </w:pPr>
      <w:r>
        <w:t xml:space="preserve">Bundles: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seed.sql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expected/*.json</w:t>
      </w:r>
      <w:r>
        <w:t xml:space="preserve"> </w:t>
      </w:r>
      <w:r>
        <w:t xml:space="preserve">(liquidaciones, conceptos y opcional eventos stub).</w:t>
      </w:r>
    </w:p>
    <w:p>
      <w:pPr>
        <w:pStyle w:val="Compact"/>
        <w:numPr>
          <w:ilvl w:val="1"/>
          <w:numId w:val="1013"/>
        </w:numPr>
      </w:pPr>
      <w:r>
        <w:t xml:space="preserve">El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incluye:</w:t>
      </w:r>
      <w:r>
        <w:t xml:space="preserve"> </w:t>
      </w:r>
      <w:r>
        <w:rPr>
          <w:rStyle w:val="VerbatimChar"/>
        </w:rPr>
        <w:t xml:space="preserve">marco_id</w:t>
      </w:r>
      <w:r>
        <w:t xml:space="preserve">,</w:t>
      </w:r>
      <w:r>
        <w:t xml:space="preserve"> </w:t>
      </w:r>
      <w:r>
        <w:rPr>
          <w:rStyle w:val="VerbatimChar"/>
        </w:rPr>
        <w:t xml:space="preserve">marco_version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directiva_version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ccl_version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freeze_time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periodo</w:t>
      </w:r>
      <w:r>
        <w:t xml:space="preserve">,</w:t>
      </w:r>
      <w:r>
        <w:t xml:space="preserve"> </w:t>
      </w:r>
      <w:r>
        <w:rPr>
          <w:rStyle w:val="VerbatimChar"/>
        </w:rPr>
        <w:t xml:space="preserve">coverage.pdn/rdn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dataset_hash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checksums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Borradores BDD: plantillas</w:t>
      </w:r>
      <w:r>
        <w:t xml:space="preserve"> </w:t>
      </w:r>
      <w:r>
        <w:rPr>
          <w:rStyle w:val="VerbatimChar"/>
        </w:rPr>
        <w:t xml:space="preserve">.feature</w:t>
      </w:r>
      <w:r>
        <w:t xml:space="preserve"> </w:t>
      </w:r>
      <w:r>
        <w:t xml:space="preserve">pre-rellenadas (tags</w:t>
      </w:r>
      <w:r>
        <w:t xml:space="preserve"> </w:t>
      </w:r>
      <w:r>
        <w:t xml:space="preserve">@PDN</w:t>
      </w:r>
      <w:r>
        <w:t xml:space="preserve">/</w:t>
      </w:r>
      <w:r>
        <w:t xml:space="preserve">@Marco</w:t>
      </w:r>
      <w:r>
        <w:t xml:space="preserve">/</w:t>
      </w:r>
      <w:r>
        <w:t xml:space="preserve">@CCL</w:t>
      </w:r>
      <w:r>
        <w:t xml:space="preserve">/</w:t>
      </w:r>
      <w:r>
        <w:t xml:space="preserve">@Periodo</w:t>
      </w:r>
      <w:r>
        <w:t xml:space="preserve">, Given/When/Then mínimos), para revisión/edición por negocio.</w:t>
      </w:r>
    </w:p>
    <w:bookmarkEnd w:id="23"/>
    <w:bookmarkStart w:id="24" w:name="Xef82be27bd733e9d2dff4b0698360a6f8e9c76e"/>
    <w:p>
      <w:pPr>
        <w:pStyle w:val="Heading2"/>
      </w:pPr>
      <w:r>
        <w:t xml:space="preserve">Contratos y reutilización en E2E (app principal)</w:t>
      </w:r>
    </w:p>
    <w:p>
      <w:pPr>
        <w:pStyle w:val="Compact"/>
        <w:numPr>
          <w:ilvl w:val="0"/>
          <w:numId w:val="1014"/>
        </w:numPr>
      </w:pPr>
      <w:r>
        <w:t xml:space="preserve">Bundle (contrato mínimo): manifest.json (ids/versión de marcos/CCL,</w:t>
      </w:r>
      <w:r>
        <w:t xml:space="preserve"> </w:t>
      </w:r>
      <w:r>
        <w:rPr>
          <w:rStyle w:val="VerbatimChar"/>
        </w:rPr>
        <w:t xml:space="preserve">directiva_version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coverage</w:t>
      </w:r>
      <w:r>
        <w:t xml:space="preserve"> </w:t>
      </w:r>
      <w:r>
        <w:t xml:space="preserve">PDN/EDN/RDN, freeze time, dataset_hash, domain_pkg_version), seed.sql e expected/*.json.</w:t>
      </w:r>
    </w:p>
    <w:p>
      <w:pPr>
        <w:pStyle w:val="Compact"/>
        <w:numPr>
          <w:ilvl w:val="0"/>
          <w:numId w:val="1014"/>
        </w:numPr>
      </w:pPr>
      <w:r>
        <w:t xml:space="preserve">Flujo E2E: Postgres limpio → migraciones → importar seed → ejecutar PDN → comparar con expected.</w:t>
      </w:r>
    </w:p>
    <w:bookmarkEnd w:id="24"/>
    <w:bookmarkStart w:id="25" w:name="criterios-de-aceptación-fase-inicial"/>
    <w:p>
      <w:pPr>
        <w:pStyle w:val="Heading2"/>
      </w:pPr>
      <w:r>
        <w:t xml:space="preserve">Criterios de aceptación (fase inicial)</w:t>
      </w:r>
    </w:p>
    <w:p>
      <w:pPr>
        <w:pStyle w:val="Compact"/>
        <w:numPr>
          <w:ilvl w:val="0"/>
          <w:numId w:val="1015"/>
        </w:numPr>
      </w:pPr>
      <w:r>
        <w:t xml:space="preserve">3–5 escenarios críticos entregados con: bundle reproducible, expected deterministas y feature Gherkin revisada por negocio.</w:t>
      </w:r>
    </w:p>
    <w:p>
      <w:pPr>
        <w:pStyle w:val="Compact"/>
        <w:numPr>
          <w:ilvl w:val="0"/>
          <w:numId w:val="1015"/>
        </w:numPr>
      </w:pPr>
      <w:r>
        <w:t xml:space="preserve">Re-ejecución determinista (idempotencia/locks) en Postgres; tasa de flakiness ≈ 0.</w:t>
      </w:r>
    </w:p>
    <w:p>
      <w:pPr>
        <w:pStyle w:val="Compact"/>
        <w:numPr>
          <w:ilvl w:val="0"/>
          <w:numId w:val="1015"/>
        </w:numPr>
      </w:pPr>
      <w:r>
        <w:t xml:space="preserve">Tiempo de incorporación de un escenario nuevo ≤ 1 día (incluye feature review).</w:t>
      </w:r>
    </w:p>
    <w:p>
      <w:pPr>
        <w:pStyle w:val="Compact"/>
        <w:numPr>
          <w:ilvl w:val="0"/>
          <w:numId w:val="1015"/>
        </w:numPr>
      </w:pPr>
      <w:r>
        <w:t xml:space="preserve">Diferencias detectadas entre MDLO y reglas implementadas documentadas y corregidas.</w:t>
      </w:r>
    </w:p>
    <w:bookmarkEnd w:id="25"/>
    <w:bookmarkStart w:id="26" w:name="plan-de-fase-inicial-24-semanas"/>
    <w:p>
      <w:pPr>
        <w:pStyle w:val="Heading2"/>
      </w:pPr>
      <w:r>
        <w:t xml:space="preserve">Plan de fase inicial (2–4 semanas)</w:t>
      </w:r>
    </w:p>
    <w:p>
      <w:pPr>
        <w:pStyle w:val="Compact"/>
        <w:numPr>
          <w:ilvl w:val="0"/>
          <w:numId w:val="1016"/>
        </w:numPr>
      </w:pPr>
      <w:r>
        <w:t xml:space="preserve">Montar app separada con</w:t>
      </w:r>
      <w:r>
        <w:t xml:space="preserve"> </w:t>
      </w:r>
      <w:r>
        <w:rPr>
          <w:rStyle w:val="VerbatimChar"/>
        </w:rPr>
        <w:t xml:space="preserve">ScenarioWorkspace</w:t>
      </w:r>
      <w:r>
        <w:t xml:space="preserve">, commands de ejecución smoke y export de bundles.</w:t>
      </w:r>
    </w:p>
    <w:p>
      <w:pPr>
        <w:pStyle w:val="Compact"/>
        <w:numPr>
          <w:ilvl w:val="0"/>
          <w:numId w:val="1016"/>
        </w:numPr>
      </w:pPr>
      <w:r>
        <w:t xml:space="preserve">Integrar artefactos normativos/CCL versionados; freeze time; IDs estables.</w:t>
      </w:r>
    </w:p>
    <w:p>
      <w:pPr>
        <w:pStyle w:val="Compact"/>
        <w:numPr>
          <w:ilvl w:val="0"/>
          <w:numId w:val="1016"/>
        </w:numPr>
      </w:pPr>
      <w:r>
        <w:t xml:space="preserve">Generar borradores Gherkin a partir de bundles (plantillas); circuito de revisión con negocio.</w:t>
      </w:r>
    </w:p>
    <w:p>
      <w:pPr>
        <w:pStyle w:val="Compact"/>
        <w:numPr>
          <w:ilvl w:val="0"/>
          <w:numId w:val="1016"/>
        </w:numPr>
      </w:pPr>
      <w:r>
        <w:t xml:space="preserve">Publicar 3–5 escenarios (otorgamiento, PIM/PLI básico, idempotencia, un caso borde) y validar E2E en la app principal.</w:t>
      </w:r>
    </w:p>
    <w:p>
      <w:pPr>
        <w:pStyle w:val="Compact"/>
        <w:numPr>
          <w:ilvl w:val="0"/>
          <w:numId w:val="1016"/>
        </w:numPr>
      </w:pPr>
      <w:r>
        <w:t xml:space="preserve">Medir tiempos (generación, import, ejecución) y ajustar parámetros; decidir sobre paquete compartido vs lógica focalizada.</w:t>
      </w:r>
    </w:p>
    <w:bookmarkEnd w:id="26"/>
    <w:bookmarkStart w:id="27" w:name="riesgos-y-mitigaciones"/>
    <w:p>
      <w:pPr>
        <w:pStyle w:val="Heading2"/>
      </w:pPr>
      <w:r>
        <w:t xml:space="preserve">Riesgos y mitigaciones</w:t>
      </w:r>
    </w:p>
    <w:p>
      <w:pPr>
        <w:pStyle w:val="Compact"/>
        <w:numPr>
          <w:ilvl w:val="0"/>
          <w:numId w:val="1017"/>
        </w:numPr>
      </w:pPr>
      <w:r>
        <w:t xml:space="preserve">Drift entre apps → preferir paquete de dominio compartido; si no, pruebas de conformidad obligatorias (diff 0 contra outputs de la app principal) en CI.</w:t>
      </w:r>
    </w:p>
    <w:p>
      <w:pPr>
        <w:pStyle w:val="Compact"/>
        <w:numPr>
          <w:ilvl w:val="0"/>
          <w:numId w:val="1017"/>
        </w:numPr>
      </w:pPr>
      <w:r>
        <w:t xml:space="preserve">Fuga de PII → datos sintéticos o anonimización pre-export; validaciones automáticas.</w:t>
      </w:r>
    </w:p>
    <w:p>
      <w:pPr>
        <w:pStyle w:val="Compact"/>
        <w:numPr>
          <w:ilvl w:val="0"/>
          <w:numId w:val="1017"/>
        </w:numPr>
      </w:pPr>
      <w:r>
        <w:t xml:space="preserve">Deriva de artefactos normativos → checksums en manifest; error explícito ante mismatch.</w:t>
      </w:r>
    </w:p>
    <w:p>
      <w:pPr>
        <w:pStyle w:val="Compact"/>
        <w:numPr>
          <w:ilvl w:val="0"/>
          <w:numId w:val="1017"/>
        </w:numPr>
      </w:pPr>
      <w:r>
        <w:t xml:space="preserve">Complejidad extra → timebox y foco; limitar alcance a PDN críticos.</w:t>
      </w:r>
    </w:p>
    <w:bookmarkEnd w:id="27"/>
    <w:bookmarkStart w:id="28" w:name="consecuencias"/>
    <w:p>
      <w:pPr>
        <w:pStyle w:val="Heading2"/>
      </w:pPr>
      <w:r>
        <w:t xml:space="preserve">Consecuencias</w:t>
      </w:r>
    </w:p>
    <w:p>
      <w:pPr>
        <w:pStyle w:val="Compact"/>
        <w:numPr>
          <w:ilvl w:val="0"/>
          <w:numId w:val="1018"/>
        </w:numPr>
      </w:pPr>
      <w:r>
        <w:t xml:space="preserve">(+) Validación temprana de MDLO y alineamiento negocio-tec; artefactos útiles para BDD/E2E (ADR-013/ADR-011).</w:t>
      </w:r>
    </w:p>
    <w:p>
      <w:pPr>
        <w:pStyle w:val="Compact"/>
        <w:numPr>
          <w:ilvl w:val="0"/>
          <w:numId w:val="1018"/>
        </w:numPr>
      </w:pPr>
      <w:r>
        <w:t xml:space="preserve">(+) Menor riesgo de ambigüedad; feedback rápido con smoke y visualización.</w:t>
      </w:r>
    </w:p>
    <w:p>
      <w:pPr>
        <w:pStyle w:val="Compact"/>
        <w:numPr>
          <w:ilvl w:val="0"/>
          <w:numId w:val="1018"/>
        </w:numPr>
      </w:pPr>
      <w:r>
        <w:t xml:space="preserve">(–) Costo de operar una app/DB adicional y sincronización de artefactos.</w:t>
      </w:r>
    </w:p>
    <w:bookmarkEnd w:id="28"/>
    <w:bookmarkStart w:id="29" w:name="referencias"/>
    <w:p>
      <w:pPr>
        <w:pStyle w:val="Heading2"/>
      </w:pPr>
      <w:r>
        <w:t xml:space="preserve">Referencias</w:t>
      </w:r>
    </w:p>
    <w:p>
      <w:pPr>
        <w:pStyle w:val="Compact"/>
        <w:numPr>
          <w:ilvl w:val="0"/>
          <w:numId w:val="1019"/>
        </w:numPr>
      </w:pPr>
      <w:r>
        <w:t xml:space="preserve">ADR-009: Invocación interna de PDN (IoC Services + Commands/Jobs)</w:t>
      </w:r>
    </w:p>
    <w:p>
      <w:pPr>
        <w:pStyle w:val="Compact"/>
        <w:numPr>
          <w:ilvl w:val="0"/>
          <w:numId w:val="1019"/>
        </w:numPr>
      </w:pPr>
      <w:r>
        <w:t xml:space="preserve">ADR-010: Estrategia de ejecución masiva de liquidaciones de fin de mes</w:t>
      </w:r>
    </w:p>
    <w:p>
      <w:pPr>
        <w:pStyle w:val="Compact"/>
        <w:numPr>
          <w:ilvl w:val="0"/>
          <w:numId w:val="1019"/>
        </w:numPr>
      </w:pPr>
      <w:r>
        <w:t xml:space="preserve">ADR-011: Estrategia de Pirámide de Tests</w:t>
      </w:r>
    </w:p>
    <w:p>
      <w:pPr>
        <w:pStyle w:val="Compact"/>
        <w:numPr>
          <w:ilvl w:val="0"/>
          <w:numId w:val="1019"/>
        </w:numPr>
      </w:pPr>
      <w:r>
        <w:t xml:space="preserve">ADR-013: Adopción de BDD como especificación ejecutable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3_especificacion_tecnica/pruebas/00_piramide_tests.md</w:t>
      </w:r>
    </w:p>
    <w:bookmarkEnd w:id="29"/>
    <w:bookmarkStart w:id="30" w:name="X4e7104835d5296db248ff9a681e48da05a14c08"/>
    <w:p>
      <w:pPr>
        <w:pStyle w:val="Heading2"/>
      </w:pPr>
      <w:r>
        <w:t xml:space="preserve">Diseño de la alternativa 5 (app separada minimalista, lógica independiente)</w:t>
      </w:r>
    </w:p>
    <w:p>
      <w:pPr>
        <w:pStyle w:val="Compact"/>
        <w:numPr>
          <w:ilvl w:val="0"/>
          <w:numId w:val="1020"/>
        </w:numPr>
      </w:pPr>
      <w:r>
        <w:t xml:space="preserve">Objetivo</w:t>
      </w:r>
    </w:p>
    <w:p>
      <w:pPr>
        <w:pStyle w:val="Compact"/>
        <w:numPr>
          <w:ilvl w:val="1"/>
          <w:numId w:val="1021"/>
        </w:numPr>
      </w:pPr>
      <w:r>
        <w:t xml:space="preserve">Maximizar simplicidad y autonomía de la app de escenarios, aceptando mantener lógica de negocio independiente de la app principal.</w:t>
      </w:r>
    </w:p>
    <w:p>
      <w:pPr>
        <w:pStyle w:val="Compact"/>
        <w:numPr>
          <w:ilvl w:val="0"/>
          <w:numId w:val="1020"/>
        </w:numPr>
      </w:pPr>
      <w:r>
        <w:t xml:space="preserve">Stack y componentes</w:t>
      </w:r>
    </w:p>
    <w:p>
      <w:pPr>
        <w:pStyle w:val="Compact"/>
        <w:numPr>
          <w:ilvl w:val="1"/>
          <w:numId w:val="1022"/>
        </w:numPr>
      </w:pPr>
      <w:r>
        <w:t xml:space="preserve">AdonisJS 6 minimal (HTTP opcional; foco en Commands/Jobs).</w:t>
      </w:r>
    </w:p>
    <w:p>
      <w:pPr>
        <w:pStyle w:val="Compact"/>
        <w:numPr>
          <w:ilvl w:val="1"/>
          <w:numId w:val="1022"/>
        </w:numPr>
      </w:pPr>
      <w:r>
        <w:t xml:space="preserve">Persistencia: Postgres propio (puede iniciar con SQLite para velocidad en dev/CI del verificador).</w:t>
      </w:r>
    </w:p>
    <w:p>
      <w:pPr>
        <w:pStyle w:val="Compact"/>
        <w:numPr>
          <w:ilvl w:val="1"/>
          <w:numId w:val="1022"/>
        </w:numPr>
      </w:pPr>
      <w:r>
        <w:t xml:space="preserve">Sin ORM complejo si no se desea: Lucid opcional; alternativa con QueryBuilder/knex.</w:t>
      </w:r>
    </w:p>
    <w:p>
      <w:pPr>
        <w:pStyle w:val="Compact"/>
        <w:numPr>
          <w:ilvl w:val="1"/>
          <w:numId w:val="1022"/>
        </w:numPr>
      </w:pPr>
      <w:r>
        <w:t xml:space="preserve">Sin outbox/integraciones: publicador noop; auditoría local básica etiquetada</w:t>
      </w:r>
      <w:r>
        <w:t xml:space="preserve"> </w:t>
      </w:r>
      <w:r>
        <w:rPr>
          <w:rStyle w:val="VerbatimChar"/>
        </w:rPr>
        <w:t xml:space="preserve">simulation=true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Modelo de datos (simplificado, no isomorfo al dominio completo)</w:t>
      </w:r>
    </w:p>
    <w:p>
      <w:pPr>
        <w:pStyle w:val="Compact"/>
        <w:numPr>
          <w:ilvl w:val="1"/>
          <w:numId w:val="1023"/>
        </w:numPr>
      </w:pPr>
      <w:r>
        <w:t xml:space="preserve">Tablas mínimas:</w:t>
      </w:r>
      <w:r>
        <w:t xml:space="preserve"> </w:t>
      </w:r>
      <w:r>
        <w:rPr>
          <w:rStyle w:val="VerbatimChar"/>
        </w:rPr>
        <w:t xml:space="preserve">scenario_workspaces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prestaciones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liquidaciones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conceptos_liquidacion</w:t>
      </w:r>
      <w:r>
        <w:t xml:space="preserve">.</w:t>
      </w:r>
    </w:p>
    <w:p>
      <w:pPr>
        <w:pStyle w:val="Compact"/>
        <w:numPr>
          <w:ilvl w:val="1"/>
          <w:numId w:val="1023"/>
        </w:numPr>
      </w:pPr>
      <w:r>
        <w:t xml:space="preserve">Constraints esenciales:</w:t>
      </w:r>
      <w:r>
        <w:t xml:space="preserve"> </w:t>
      </w:r>
      <w:r>
        <w:rPr>
          <w:rStyle w:val="VerbatimChar"/>
        </w:rPr>
        <w:t xml:space="preserve">unique(liquidaciones.periodo, prestacion_id)</w:t>
      </w:r>
      <w:r>
        <w:t xml:space="preserve">, FKs básicas, montos en enteros.</w:t>
      </w:r>
    </w:p>
    <w:p>
      <w:pPr>
        <w:pStyle w:val="Compact"/>
        <w:numPr>
          <w:ilvl w:val="1"/>
          <w:numId w:val="1023"/>
        </w:numPr>
      </w:pPr>
      <w:r>
        <w:t xml:space="preserve">No se replica todo el modelo (Acuerdos, Deudas, etc.) salvo que el escenario lo requiera.</w:t>
      </w:r>
    </w:p>
    <w:p>
      <w:pPr>
        <w:pStyle w:val="Compact"/>
        <w:numPr>
          <w:ilvl w:val="0"/>
          <w:numId w:val="1020"/>
        </w:numPr>
      </w:pPr>
      <w:r>
        <w:t xml:space="preserve">Artefactos normativos y CCL</w:t>
      </w:r>
    </w:p>
    <w:p>
      <w:pPr>
        <w:pStyle w:val="Compact"/>
        <w:numPr>
          <w:ilvl w:val="1"/>
          <w:numId w:val="1024"/>
        </w:numPr>
      </w:pPr>
      <w:r>
        <w:t xml:space="preserve">Copias locales (JSON/CSV) de</w:t>
      </w:r>
      <w:r>
        <w:t xml:space="preserve"> </w:t>
      </w:r>
      <w:r>
        <w:rPr>
          <w:rStyle w:val="VerbatimChar"/>
        </w:rPr>
        <w:t xml:space="preserve">MarcoNormativo</w:t>
      </w:r>
      <w:r>
        <w:t xml:space="preserve"> </w:t>
      </w:r>
      <w:r>
        <w:t xml:space="preserve">(parámetros/directivas) y CCL por versión.</w:t>
      </w:r>
    </w:p>
    <w:p>
      <w:pPr>
        <w:pStyle w:val="Compact"/>
        <w:numPr>
          <w:ilvl w:val="1"/>
          <w:numId w:val="1024"/>
        </w:numPr>
      </w:pPr>
      <w:r>
        <w:t xml:space="preserve">Verificación por checksum en un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; si no coincide, bloquear ejecución o advertir.</w:t>
      </w:r>
    </w:p>
    <w:p>
      <w:pPr>
        <w:pStyle w:val="Compact"/>
        <w:numPr>
          <w:ilvl w:val="0"/>
          <w:numId w:val="1020"/>
        </w:numPr>
      </w:pPr>
      <w:r>
        <w:t xml:space="preserve">Lógica de negocio (independiente)</w:t>
      </w:r>
    </w:p>
    <w:p>
      <w:pPr>
        <w:pStyle w:val="Compact"/>
        <w:numPr>
          <w:ilvl w:val="1"/>
          <w:numId w:val="1025"/>
        </w:numPr>
      </w:pPr>
      <w:r>
        <w:t xml:space="preserve">Re-implementación focalizada de reglas necesarias: CALC-PIM/PLI básicas y redondeo.</w:t>
      </w:r>
    </w:p>
    <w:p>
      <w:pPr>
        <w:pStyle w:val="Compact"/>
        <w:numPr>
          <w:ilvl w:val="1"/>
          <w:numId w:val="1025"/>
        </w:numPr>
      </w:pPr>
      <w:r>
        <w:t xml:space="preserve">Orquestador de PDN mínimos (otorgamiento/pago) en Commands.</w:t>
      </w:r>
    </w:p>
    <w:p>
      <w:pPr>
        <w:pStyle w:val="Compact"/>
        <w:numPr>
          <w:ilvl w:val="1"/>
          <w:numId w:val="1025"/>
        </w:numPr>
      </w:pPr>
      <w:r>
        <w:t xml:space="preserve">Determinismo: freeze time, IDs estables, orden fijo de procesamiento.</w:t>
      </w:r>
    </w:p>
    <w:p>
      <w:pPr>
        <w:pStyle w:val="Compact"/>
        <w:numPr>
          <w:ilvl w:val="0"/>
          <w:numId w:val="1020"/>
        </w:numPr>
      </w:pPr>
      <w:r>
        <w:t xml:space="preserve">Orquestación de escenarios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ScenarioWorkspace</w:t>
      </w:r>
      <w:r>
        <w:t xml:space="preserve"> </w:t>
      </w:r>
      <w:r>
        <w:t xml:space="preserve">crea un “espacio” aislado (schema o prefijo de tablas).</w:t>
      </w:r>
    </w:p>
    <w:p>
      <w:pPr>
        <w:pStyle w:val="Compact"/>
        <w:numPr>
          <w:ilvl w:val="1"/>
          <w:numId w:val="1026"/>
        </w:numPr>
      </w:pPr>
      <w:r>
        <w:t xml:space="preserve">Factories/seeders deterministas generan datos del escenario.</w:t>
      </w:r>
    </w:p>
    <w:p>
      <w:pPr>
        <w:pStyle w:val="Compact"/>
        <w:numPr>
          <w:ilvl w:val="1"/>
          <w:numId w:val="1026"/>
        </w:numPr>
      </w:pPr>
      <w:r>
        <w:t xml:space="preserve">Command</w:t>
      </w:r>
      <w:r>
        <w:t xml:space="preserve"> </w:t>
      </w:r>
      <w:r>
        <w:rPr>
          <w:rStyle w:val="VerbatimChar"/>
        </w:rPr>
        <w:t xml:space="preserve">escenario:ejecutar --id &lt;uuid&gt;</w:t>
      </w:r>
      <w:r>
        <w:t xml:space="preserve"> </w:t>
      </w:r>
      <w:r>
        <w:t xml:space="preserve">corre PDN y persiste resultados.</w:t>
      </w:r>
    </w:p>
    <w:p>
      <w:pPr>
        <w:pStyle w:val="Compact"/>
        <w:numPr>
          <w:ilvl w:val="0"/>
          <w:numId w:val="1020"/>
        </w:numPr>
      </w:pPr>
      <w:r>
        <w:t xml:space="preserve">Contratos de salida (bundles)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manifest.json</w:t>
      </w:r>
      <w:r>
        <w:t xml:space="preserve">: ids/versión de marcos/CCL, dataset_hash, domain_version (de la app verificador), notas.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seed.sql</w:t>
      </w:r>
      <w:r>
        <w:t xml:space="preserve">: inserts deterministas para reconstruir el escenario en otras apps.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expected/*.json</w:t>
      </w:r>
      <w:r>
        <w:t xml:space="preserve">: liquidaciones y conceptos esperados (y opcional eventos stub).</w:t>
      </w:r>
    </w:p>
    <w:p>
      <w:pPr>
        <w:pStyle w:val="Compact"/>
        <w:numPr>
          <w:ilvl w:val="0"/>
          <w:numId w:val="1020"/>
        </w:numPr>
      </w:pPr>
      <w:r>
        <w:t xml:space="preserve">Integración con E2E de la app principal</w:t>
      </w:r>
    </w:p>
    <w:p>
      <w:pPr>
        <w:pStyle w:val="Compact"/>
        <w:numPr>
          <w:ilvl w:val="1"/>
          <w:numId w:val="1028"/>
        </w:numPr>
      </w:pPr>
      <w:r>
        <w:t xml:space="preserve">La app principal consume bundles (sin compartir código) y valida outputs contra</w:t>
      </w:r>
      <w:r>
        <w:t xml:space="preserve"> </w:t>
      </w:r>
      <w:r>
        <w:rPr>
          <w:rStyle w:val="VerbatimChar"/>
        </w:rPr>
        <w:t xml:space="preserve">expected/*.json</w:t>
      </w:r>
      <w:r>
        <w:t xml:space="preserve">.</w:t>
      </w:r>
    </w:p>
    <w:p>
      <w:pPr>
        <w:pStyle w:val="Compact"/>
        <w:numPr>
          <w:ilvl w:val="1"/>
          <w:numId w:val="1028"/>
        </w:numPr>
      </w:pPr>
      <w:r>
        <w:t xml:space="preserve">Conformidad se garantiza por contrato (no por reutilización de servicios).</w:t>
      </w:r>
    </w:p>
    <w:p>
      <w:pPr>
        <w:pStyle w:val="Compact"/>
        <w:numPr>
          <w:ilvl w:val="0"/>
          <w:numId w:val="1020"/>
        </w:numPr>
      </w:pPr>
      <w:r>
        <w:t xml:space="preserve">Sincronización y gobernanza</w:t>
      </w:r>
    </w:p>
    <w:p>
      <w:pPr>
        <w:pStyle w:val="Compact"/>
        <w:numPr>
          <w:ilvl w:val="1"/>
          <w:numId w:val="1029"/>
        </w:numPr>
      </w:pPr>
      <w:r>
        <w:t xml:space="preserve">Política: “contract-first”. La equivalencia se prueba con suites de conformidad (diff 0 entre apps) ejecutadas en CI.</w:t>
      </w:r>
    </w:p>
    <w:p>
      <w:pPr>
        <w:pStyle w:val="Compact"/>
        <w:numPr>
          <w:ilvl w:val="1"/>
          <w:numId w:val="1029"/>
        </w:numPr>
      </w:pPr>
      <w:r>
        <w:t xml:space="preserve">Versionado SemVer de la app verificador; cada cambio mayor actualiza el formato de bundle.</w:t>
      </w:r>
    </w:p>
    <w:p>
      <w:pPr>
        <w:pStyle w:val="Compact"/>
        <w:numPr>
          <w:ilvl w:val="1"/>
          <w:numId w:val="1029"/>
        </w:numPr>
      </w:pPr>
      <w:r>
        <w:t xml:space="preserve">Registro de bundles versionados (artefact repository) con checksums.</w:t>
      </w:r>
    </w:p>
    <w:p>
      <w:pPr>
        <w:pStyle w:val="Compact"/>
        <w:numPr>
          <w:ilvl w:val="0"/>
          <w:numId w:val="1020"/>
        </w:numPr>
      </w:pPr>
      <w:r>
        <w:t xml:space="preserve">Operación</w:t>
      </w:r>
    </w:p>
    <w:p>
      <w:pPr>
        <w:pStyle w:val="Compact"/>
        <w:numPr>
          <w:ilvl w:val="1"/>
          <w:numId w:val="1030"/>
        </w:numPr>
      </w:pPr>
      <w:r>
        <w:t xml:space="preserve">App y DB separadas; recursos acotados; TTL para workspaces; límites de tamaño/CPU.</w:t>
      </w:r>
    </w:p>
    <w:p>
      <w:pPr>
        <w:pStyle w:val="Compact"/>
        <w:numPr>
          <w:ilvl w:val="1"/>
          <w:numId w:val="1030"/>
        </w:numPr>
      </w:pPr>
      <w:r>
        <w:t xml:space="preserve">Métricas: tiempo por escenario, divergencias vs app principal, tasa de éxito de conformidad.</w:t>
      </w:r>
    </w:p>
    <w:p>
      <w:pPr>
        <w:pStyle w:val="Compact"/>
        <w:numPr>
          <w:ilvl w:val="0"/>
          <w:numId w:val="1020"/>
        </w:numPr>
      </w:pPr>
      <w:r>
        <w:t xml:space="preserve">Riesgos y mitigaciones</w:t>
      </w:r>
    </w:p>
    <w:p>
      <w:pPr>
        <w:pStyle w:val="Compact"/>
        <w:numPr>
          <w:ilvl w:val="1"/>
          <w:numId w:val="1031"/>
        </w:numPr>
      </w:pPr>
      <w:r>
        <w:t xml:space="preserve">Drift de lógica: ejecutar con frecuencia pruebas de conformidad (verificador vs principal) y bloquear releases ante divergencias.</w:t>
      </w:r>
    </w:p>
    <w:p>
      <w:pPr>
        <w:pStyle w:val="Compact"/>
        <w:numPr>
          <w:ilvl w:val="1"/>
          <w:numId w:val="1031"/>
        </w:numPr>
      </w:pPr>
      <w:r>
        <w:t xml:space="preserve">Cobertura insuficiente: ampliar escenarios hasta cubrir reglas críticas (lista curada) y casos borde.</w:t>
      </w:r>
    </w:p>
    <w:p>
      <w:pPr>
        <w:pStyle w:val="Compact"/>
        <w:numPr>
          <w:ilvl w:val="1"/>
          <w:numId w:val="1031"/>
        </w:numPr>
      </w:pPr>
      <w:r>
        <w:t xml:space="preserve">Deriva de artefactos normativos: checksums y fallo explícito ante mismatch.</w:t>
      </w:r>
    </w:p>
    <w:bookmarkEnd w:id="30"/>
    <w:bookmarkEnd w:id="31"/>
    <w:sectPr w:rsidR="00C94706">
      <w:headerReference r:id="rId6" w:type="even"/>
      <w:headerReference r:id="rId7" w:type="default"/>
      <w:footerReference r:id="rId8" w:type="even"/>
      <w:footerReference r:id="rId9" w:type="default"/>
      <w:headerReference r:id="rId10" w:type="first"/>
      <w:footerReference r:id="rId11" w:type="first"/>
      <w:pgSz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77969610"/>
      <w:docPartObj>
        <w:docPartGallery w:val="Page Numbers (Bottom of Page)"/>
        <w:docPartUnique/>
      </w:docPartObj>
    </w:sdtPr>
    <w:sdtContent>
      <w:p w14:paraId="56141566" w14:textId="3634944E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2EC80C0" w14:textId="77777777" w:rsidR="00C94706" w:rsidRDefault="00C94706" w:rsidP="00C947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6540692"/>
      <w:docPartObj>
        <w:docPartGallery w:val="Page Numbers (Bottom of Page)"/>
        <w:docPartUnique/>
      </w:docPartObj>
    </w:sdtPr>
    <w:sdtContent>
      <w:p w14:paraId="39828040" w14:textId="578D3B17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7E1B8FC" w14:textId="65628ACF" w:rsidR="00C94706" w:rsidRDefault="00A449F4" w:rsidP="00C94706">
    <w:pPr>
      <w:pStyle w:val="Footer"/>
      <w:ind w:right="360"/>
    </w:pPr>
    <w:r>
      <w:fldChar w:fldCharType="begin"/>
    </w:r>
    <w:r>
      <w:rPr>
        <w:lang w:val="en-US"/>
      </w:rPr>
      <w:instrText xml:space="preserve"> DATE \@ "M/d/yy h:mm:ss am/pm" </w:instrText>
    </w:r>
    <w:r>
      <w:fldChar w:fldCharType="separate"/>
    </w:r>
    <w:r>
      <w:rPr>
        <w:noProof/>
        <w:lang w:val="en-US"/>
      </w:rPr>
      <w:t>8/8/25 7:45:14 AM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F36D9" w14:textId="77777777" w:rsidR="00A449F4" w:rsidRDefault="00A449F4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2106B" w14:textId="77777777" w:rsidR="00A449F4" w:rsidRDefault="00A449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5A19" w14:textId="77777777" w:rsidR="00A449F4" w:rsidRDefault="00A449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2031D" w14:textId="77777777" w:rsidR="00A449F4" w:rsidRDefault="00A449F4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99425">
    <w:nsid w:val="00A99425"/>
    <w:multiLevelType w:val="multilevel"/>
    <w:lvl w:ilvl="0">
      <w:start w:val="5"/>
      <w:numFmt w:val="decimal"/>
      <w:lvlText w:val="%1)"/>
      <w:lvlJc w:val="left"/>
      <w:pPr>
        <w:ind w:left="720" w:hanging="360"/>
      </w:pPr>
    </w:lvl>
    <w:lvl w:ilvl="1">
      <w:start w:val="5"/>
      <w:numFmt w:val="decimal"/>
      <w:lvlText w:val="%2)"/>
      <w:lvlJc w:val="left"/>
      <w:pPr>
        <w:ind w:left="1440" w:hanging="360"/>
      </w:pPr>
    </w:lvl>
    <w:lvl w:ilvl="2">
      <w:start w:val="5"/>
      <w:numFmt w:val="decimal"/>
      <w:lvlText w:val="%3)"/>
      <w:lvlJc w:val="left"/>
      <w:pPr>
        <w:ind w:left="2160" w:hanging="360"/>
      </w:pPr>
    </w:lvl>
    <w:lvl w:ilvl="3">
      <w:start w:val="5"/>
      <w:numFmt w:val="decimal"/>
      <w:lvlText w:val="%4)"/>
      <w:lvlJc w:val="left"/>
      <w:pPr>
        <w:ind w:left="2880" w:hanging="360"/>
      </w:pPr>
    </w:lvl>
    <w:lvl w:ilvl="4">
      <w:start w:val="5"/>
      <w:numFmt w:val="decimal"/>
      <w:lvlText w:val="%5)"/>
      <w:lvlJc w:val="left"/>
      <w:pPr>
        <w:ind w:left="3600" w:hanging="360"/>
      </w:pPr>
    </w:lvl>
    <w:lvl w:ilvl="5">
      <w:start w:val="5"/>
      <w:numFmt w:val="decimal"/>
      <w:lvlText w:val="%6)"/>
      <w:lvlJc w:val="left"/>
      <w:pPr>
        <w:ind w:left="4320" w:hanging="360"/>
      </w:pPr>
    </w:lvl>
    <w:lvl w:ilvl="6">
      <w:start w:val="5"/>
      <w:numFmt w:val="decimal"/>
      <w:lvlText w:val="%7)"/>
      <w:lvlJc w:val="left"/>
      <w:pPr>
        <w:ind w:left="5040" w:hanging="360"/>
      </w:pPr>
    </w:lvl>
    <w:lvl w:ilvl="7">
      <w:start w:val="5"/>
      <w:numFmt w:val="decimal"/>
      <w:lvlText w:val="%8)"/>
      <w:lvlJc w:val="left"/>
      <w:pPr>
        <w:ind w:left="5760" w:hanging="360"/>
      </w:pPr>
    </w:lvl>
    <w:lvl w:ilvl="8">
      <w:start w:val="5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1"/>
  </w:num>
  <w:num w:numId="1008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1"/>
  </w:num>
  <w:num w:numId="1010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8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06"/>
    <w:rsid w:val="005728A2"/>
    <w:rsid w:val="00A449F4"/>
    <w:rsid w:val="00B730E0"/>
    <w:rsid w:val="00C94706"/>
    <w:rsid w:val="00DE12AB"/>
  </w:rsids>
  <w:themeFontLang w:val="en-CL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CL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A449F4"/>
    <w:pPr>
      <w:spacing w:after="80" w:line="276" w:lineRule="auto"/>
    </w:pPr>
    <w:rPr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C94706"/>
    <w:pPr>
      <w:keepNext/>
      <w:keepLines/>
      <w:spacing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C94706"/>
    <w:pPr>
      <w:keepNext/>
      <w:keepLines/>
      <w:spacing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C94706"/>
    <w:pPr>
      <w:keepNext/>
      <w:keepLines/>
      <w:spacing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94706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94706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C94706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C94706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C94706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C94706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C94706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C94706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94706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94706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94706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C94706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C94706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C94706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C94706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C94706"/>
    <w:pPr>
      <w:spacing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9470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C94706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C94706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C94706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94706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C94706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C94706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94706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94706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C94706"/>
    <w:rPr>
      <w:b/>
      <w:bCs/>
      <w:smallCaps/>
      <w:color w:themeColor="accent1" w:themeShade="BF" w:val="0F4761"/>
      <w:spacing w:val="5"/>
    </w:rPr>
  </w:style>
  <w:style w:styleId="Footer" w:type="paragraph">
    <w:name w:val="footer"/>
    <w:basedOn w:val="Normal"/>
    <w:link w:val="FooterChar"/>
    <w:uiPriority w:val="99"/>
    <w:unhideWhenUsed/>
    <w:rsid w:val="00C94706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C94706"/>
    <w:rPr>
      <w:sz w:val="22"/>
    </w:rPr>
  </w:style>
  <w:style w:styleId="PageNumber" w:type="character">
    <w:name w:val="page number"/>
    <w:basedOn w:val="DefaultParagraphFont"/>
    <w:uiPriority w:val="99"/>
    <w:semiHidden/>
    <w:unhideWhenUsed/>
    <w:rsid w:val="00C94706"/>
  </w:style>
  <w:style w:styleId="Header" w:type="paragraph">
    <w:name w:val="header"/>
    <w:basedOn w:val="Normal"/>
    <w:link w:val="HeaderChar"/>
    <w:uiPriority w:val="99"/>
    <w:unhideWhenUsed/>
    <w:rsid w:val="00A449F4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449F4"/>
    <w:rPr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footer1.xml" Type="http://schemas.openxmlformats.org/officeDocument/2006/relationships/footer" /><Relationship Id="rId7" Target="header2.xml" Type="http://schemas.openxmlformats.org/officeDocument/2006/relationships/header" /><Relationship Id="rId6" Target="header1.xml" Type="http://schemas.openxmlformats.org/officeDocument/2006/relationships/header" /><Relationship Id="rId11" Target="footer3.xml" Type="http://schemas.openxmlformats.org/officeDocument/2006/relationships/footer" /><Relationship Id="rId10" Target="header3.xml" Type="http://schemas.openxmlformats.org/officeDocument/2006/relationships/header" /><Relationship Id="rId9" Target="footer2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2025-08-12T11:50:46Z</dcterms:created>
  <dcterms:modified xsi:type="dcterms:W3CDTF">2025-08-12T11:50:46Z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linespacing">
    <vt:lpwstr>1.15</vt:lpwstr>
  </property>
</Properties>
</file>