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Xb61664d66685c02e6794f6858a113022bb5e514"/>
    <w:p>
      <w:pPr>
        <w:pStyle w:val="Heading1"/>
      </w:pPr>
      <w:r>
        <w:t xml:space="preserve">ADR-013: Adopción de BDD (Behavior-Driven Development) como marco de especificación ejecutable</w:t>
      </w:r>
    </w:p>
    <w:p>
      <w:pPr>
        <w:pStyle w:val="Compact"/>
        <w:numPr>
          <w:ilvl w:val="0"/>
          <w:numId w:val="1001"/>
        </w:numPr>
      </w:pPr>
      <w:r>
        <w:t xml:space="preserve">Estado: Aceptada</w:t>
      </w:r>
    </w:p>
    <w:p>
      <w:pPr>
        <w:pStyle w:val="Compact"/>
        <w:numPr>
          <w:ilvl w:val="0"/>
          <w:numId w:val="1001"/>
        </w:numPr>
      </w:pPr>
      <w:r>
        <w:t xml:space="preserve">Fecha: 2025-08-09</w:t>
      </w:r>
    </w:p>
    <w:p>
      <w:pPr>
        <w:pStyle w:val="Compact"/>
        <w:numPr>
          <w:ilvl w:val="0"/>
          <w:numId w:val="1001"/>
        </w:numPr>
      </w:pPr>
      <w:r>
        <w:t xml:space="preserve">Deciders: Javier Errazuriz</w:t>
      </w:r>
    </w:p>
    <w:p>
      <w:pPr>
        <w:pStyle w:val="Compact"/>
        <w:numPr>
          <w:ilvl w:val="0"/>
          <w:numId w:val="1001"/>
        </w:numPr>
      </w:pPr>
      <w:r>
        <w:t xml:space="preserve">Authors: Javier Errazuriz</w:t>
      </w:r>
    </w:p>
    <w:bookmarkStart w:id="20" w:name="contexto"/>
    <w:p>
      <w:pPr>
        <w:pStyle w:val="Heading2"/>
      </w:pPr>
      <w:r>
        <w:t xml:space="preserve">Contexto</w:t>
      </w:r>
    </w:p>
    <w:p>
      <w:pPr>
        <w:pStyle w:val="FirstParagraph"/>
      </w:pPr>
      <w:r>
        <w:t xml:space="preserve">El dominio exige trazabilidad normativa, reproducibilidad y un lenguaje compartido entre negocio y tecnología. Necesitamos que los procesos PDN y reglas RDN se documenten y verifiquen como “especificación ejecutable”, minimizando ambigüedades y garantizando que los cambios normativos (MarcoNormativo/CCL) se reflejen en escenarios verificables.</w:t>
      </w:r>
    </w:p>
    <w:p>
      <w:pPr>
        <w:pStyle w:val="BodyText"/>
      </w:pPr>
      <w:r>
        <w:t xml:space="preserve">Relación con decisiones previas:</w:t>
      </w:r>
      <w:r>
        <w:t xml:space="preserve"> </w:t>
      </w:r>
      <w:r>
        <w:t xml:space="preserve">- ADR-009: Invocación interna de PDN (IoC Services/Commands) simplifica steps “When”.</w:t>
      </w:r>
      <w:r>
        <w:t xml:space="preserve"> </w:t>
      </w:r>
      <w:r>
        <w:t xml:space="preserve">- ADR-010: Ejecutar lotes masivos requiere escenarios y medición determinista.</w:t>
      </w:r>
      <w:r>
        <w:t xml:space="preserve"> </w:t>
      </w:r>
      <w:r>
        <w:t xml:space="preserve">- ADR-011: Pirámide de tests (SQLite rápidos; Postgres E2E) define dónde vive BDD.</w:t>
      </w:r>
      <w:r>
        <w:t xml:space="preserve"> </w:t>
      </w:r>
      <w:r>
        <w:t xml:space="preserve">- ADR-012: App separada de escenarios permite “Given” como bundles versionados.</w:t>
      </w:r>
    </w:p>
    <w:bookmarkEnd w:id="20"/>
    <w:bookmarkStart w:id="21" w:name="decisión"/>
    <w:p>
      <w:pPr>
        <w:pStyle w:val="Heading2"/>
      </w:pPr>
      <w:r>
        <w:t xml:space="preserve">Decisión</w:t>
      </w:r>
    </w:p>
    <w:p>
      <w:pPr>
        <w:pStyle w:val="Compact"/>
        <w:numPr>
          <w:ilvl w:val="0"/>
          <w:numId w:val="1002"/>
        </w:numPr>
      </w:pPr>
      <w:r>
        <w:t xml:space="preserve">Adoptar BDD con Gherkin (Given/When/Then) como marco de especificación ejecutable para procesos de negocio y reglas clave.</w:t>
      </w:r>
    </w:p>
    <w:p>
      <w:pPr>
        <w:pStyle w:val="Compact"/>
        <w:numPr>
          <w:ilvl w:val="0"/>
          <w:numId w:val="1002"/>
        </w:numPr>
      </w:pPr>
      <w:r>
        <w:t xml:space="preserve">Ubicar features versionadas y taggeadas por PDN/RDN,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CCL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Runner: Cucumber.js (o equivalente) con step definitions en TypeScript que invocan Services/Commands de AdonisJS (ADR-009).</w:t>
      </w:r>
    </w:p>
    <w:p>
      <w:pPr>
        <w:pStyle w:val="Compact"/>
        <w:numPr>
          <w:ilvl w:val="0"/>
          <w:numId w:val="1002"/>
        </w:numPr>
      </w:pPr>
      <w:r>
        <w:t xml:space="preserve">Mapeo operativo:</w:t>
      </w:r>
    </w:p>
    <w:p>
      <w:pPr>
        <w:pStyle w:val="Compact"/>
        <w:numPr>
          <w:ilvl w:val="1"/>
          <w:numId w:val="1003"/>
        </w:numPr>
      </w:pPr>
      <w:r>
        <w:t xml:space="preserve">Given: cargar bundle de escenario (ADR-012) o seed determinista; fijar</w:t>
      </w:r>
      <w:r>
        <w:t xml:space="preserve"> </w:t>
      </w:r>
      <w:r>
        <w:rPr>
          <w:rStyle w:val="VerbatimChar"/>
        </w:rPr>
        <w:t xml:space="preserve">freeze time</w:t>
      </w:r>
      <w:r>
        <w:t xml:space="preserve">; validar versiones de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/</w:t>
      </w:r>
      <w:r>
        <w:rPr>
          <w:rStyle w:val="VerbatimChar"/>
        </w:rPr>
        <w:t xml:space="preserve">CCL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When: ejecutar el PDN (p. ej.,</w:t>
      </w:r>
      <w:r>
        <w:t xml:space="preserve"> </w:t>
      </w:r>
      <w:r>
        <w:rPr>
          <w:rStyle w:val="VerbatimChar"/>
        </w:rPr>
        <w:t xml:space="preserve">pagar:calcular --periodo=AAAAMM</w:t>
      </w:r>
      <w:r>
        <w:t xml:space="preserve">) vía command/service.</w:t>
      </w:r>
    </w:p>
    <w:p>
      <w:pPr>
        <w:pStyle w:val="Compact"/>
        <w:numPr>
          <w:ilvl w:val="1"/>
          <w:numId w:val="1003"/>
        </w:numPr>
      </w:pPr>
      <w:r>
        <w:t xml:space="preserve">Then: comparar salidas con golden sets (expected/*.json), verificar idempotencia/locks/outbox (cuando aplique).</w:t>
      </w:r>
    </w:p>
    <w:p>
      <w:pPr>
        <w:pStyle w:val="Compact"/>
        <w:numPr>
          <w:ilvl w:val="0"/>
          <w:numId w:val="1002"/>
        </w:numPr>
      </w:pPr>
      <w:r>
        <w:t xml:space="preserve">Integración CI: features E2E corren sobre Postgres (paridad prod); unit/funcional pueden usar SQLite para steps rápidos (ADR-011).</w:t>
      </w:r>
    </w:p>
    <w:bookmarkEnd w:id="21"/>
    <w:bookmarkStart w:id="22" w:name="alcance"/>
    <w:p>
      <w:pPr>
        <w:pStyle w:val="Heading2"/>
      </w:pPr>
      <w:r>
        <w:t xml:space="preserve">Alcance</w:t>
      </w:r>
    </w:p>
    <w:p>
      <w:pPr>
        <w:pStyle w:val="Compact"/>
        <w:numPr>
          <w:ilvl w:val="0"/>
          <w:numId w:val="1004"/>
        </w:numPr>
      </w:pPr>
      <w:r>
        <w:t xml:space="preserve">Prioridad: PDN de otorgamiento y cálculo mensual (PIM/PLI/redondeo), reliquidaciones, idempotencia, y eventos críticos (outbox). Gradual para el resto.</w:t>
      </w:r>
    </w:p>
    <w:p>
      <w:pPr>
        <w:pStyle w:val="Compact"/>
        <w:numPr>
          <w:ilvl w:val="0"/>
          <w:numId w:val="1004"/>
        </w:numPr>
      </w:pPr>
      <w:r>
        <w:t xml:space="preserve">Features y bundles se versionan junto con artefactos normativos.</w:t>
      </w:r>
    </w:p>
    <w:bookmarkEnd w:id="22"/>
    <w:bookmarkStart w:id="23" w:name="alternativas-consideradas"/>
    <w:p>
      <w:pPr>
        <w:pStyle w:val="Heading2"/>
      </w:pPr>
      <w:r>
        <w:t xml:space="preserve">Alternativas consideradas</w:t>
      </w:r>
    </w:p>
    <w:p>
      <w:pPr>
        <w:pStyle w:val="Compact"/>
        <w:numPr>
          <w:ilvl w:val="0"/>
          <w:numId w:val="1005"/>
        </w:numPr>
      </w:pPr>
      <w:r>
        <w:t xml:space="preserve">TDD/ATDD sin Gherkin (tests imperativos)</w:t>
      </w:r>
    </w:p>
    <w:p>
      <w:pPr>
        <w:pStyle w:val="Compact"/>
        <w:numPr>
          <w:ilvl w:val="0"/>
          <w:numId w:val="1006"/>
        </w:numPr>
      </w:pPr>
      <w:r>
        <w:t xml:space="preserve">Pros: menos tooling; más directo.</w:t>
      </w:r>
    </w:p>
    <w:p>
      <w:pPr>
        <w:pStyle w:val="Compact"/>
        <w:numPr>
          <w:ilvl w:val="0"/>
          <w:numId w:val="1006"/>
        </w:numPr>
      </w:pPr>
      <w:r>
        <w:t xml:space="preserve">Contras: menor legibilidad para negocio; menos “living documentation”.</w:t>
      </w:r>
    </w:p>
    <w:p>
      <w:pPr>
        <w:pStyle w:val="Compact"/>
        <w:numPr>
          <w:ilvl w:val="0"/>
          <w:numId w:val="1007"/>
        </w:numPr>
      </w:pPr>
      <w:r>
        <w:t xml:space="preserve">Documentación narrativa + pruebas convencionales</w:t>
      </w:r>
    </w:p>
    <w:p>
      <w:pPr>
        <w:pStyle w:val="Compact"/>
        <w:numPr>
          <w:ilvl w:val="0"/>
          <w:numId w:val="1008"/>
        </w:numPr>
      </w:pPr>
      <w:r>
        <w:t xml:space="preserve">Pros: simple de mantener.</w:t>
      </w:r>
    </w:p>
    <w:p>
      <w:pPr>
        <w:pStyle w:val="Compact"/>
        <w:numPr>
          <w:ilvl w:val="0"/>
          <w:numId w:val="1008"/>
        </w:numPr>
      </w:pPr>
      <w:r>
        <w:t xml:space="preserve">Contras: riesgo de deriva; poca trazabilidad Given/When/Then.</w:t>
      </w:r>
    </w:p>
    <w:bookmarkEnd w:id="23"/>
    <w:bookmarkStart w:id="24" w:name="consecuencias"/>
    <w:p>
      <w:pPr>
        <w:pStyle w:val="Heading2"/>
      </w:pPr>
      <w:r>
        <w:t xml:space="preserve">Consecuencias</w:t>
      </w:r>
    </w:p>
    <w:p>
      <w:pPr>
        <w:pStyle w:val="Compact"/>
        <w:numPr>
          <w:ilvl w:val="0"/>
          <w:numId w:val="1009"/>
        </w:numPr>
      </w:pPr>
      <w:r>
        <w:t xml:space="preserve">(+) Lenguaje ubicuo: PDN/RDN/CCL se expresan en ejemplos concretos; menor ambigüedad.</w:t>
      </w:r>
    </w:p>
    <w:p>
      <w:pPr>
        <w:pStyle w:val="Compact"/>
        <w:numPr>
          <w:ilvl w:val="0"/>
          <w:numId w:val="1009"/>
        </w:numPr>
      </w:pPr>
      <w:r>
        <w:t xml:space="preserve">(+) Trazabilidad: features enlazadas a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/CCL y a resultados deterministas.</w:t>
      </w:r>
    </w:p>
    <w:p>
      <w:pPr>
        <w:pStyle w:val="Compact"/>
        <w:numPr>
          <w:ilvl w:val="0"/>
          <w:numId w:val="1009"/>
        </w:numPr>
      </w:pPr>
      <w:r>
        <w:t xml:space="preserve">(+) Cambios normativos: actualización de features y bundles evidencian el impacto.</w:t>
      </w:r>
    </w:p>
    <w:p>
      <w:pPr>
        <w:pStyle w:val="Compact"/>
        <w:numPr>
          <w:ilvl w:val="0"/>
          <w:numId w:val="1009"/>
        </w:numPr>
      </w:pPr>
      <w:r>
        <w:t xml:space="preserve">(–) Coste inicial de tooling y disciplina en mantenimiento de steps/features.</w:t>
      </w:r>
    </w:p>
    <w:p>
      <w:pPr>
        <w:pStyle w:val="Compact"/>
        <w:numPr>
          <w:ilvl w:val="0"/>
          <w:numId w:val="1009"/>
        </w:numPr>
      </w:pPr>
      <w:r>
        <w:t xml:space="preserve">(–) Riesgo de flakiness si no se asegura determinismo (freeze time, seeds, idempotencia).</w:t>
      </w:r>
    </w:p>
    <w:bookmarkEnd w:id="24"/>
    <w:bookmarkStart w:id="25" w:name="reflejo-en-arc42"/>
    <w:p>
      <w:pPr>
        <w:pStyle w:val="Heading2"/>
      </w:pPr>
      <w:r>
        <w:t xml:space="preserve">Reflejo en arc42</w:t>
      </w:r>
    </w:p>
    <w:p>
      <w:pPr>
        <w:pStyle w:val="Compact"/>
        <w:numPr>
          <w:ilvl w:val="0"/>
          <w:numId w:val="1010"/>
        </w:numPr>
      </w:pPr>
      <w:r>
        <w:t xml:space="preserve">§6 Runtime: los escenarios clave se documentan como features BDD y se enlazan; los diagramas de secuencia referencian pasos Given/When/Then.</w:t>
      </w:r>
    </w:p>
    <w:p>
      <w:pPr>
        <w:pStyle w:val="Compact"/>
        <w:numPr>
          <w:ilvl w:val="0"/>
          <w:numId w:val="1010"/>
        </w:numPr>
      </w:pPr>
      <w:r>
        <w:t xml:space="preserve">§10 Calidad: criterios de aceptación se miden por features BDD (cobertura por PDN, tasa de éxito, p95 de ejecución de scenarios).</w:t>
      </w:r>
    </w:p>
    <w:p>
      <w:pPr>
        <w:pStyle w:val="Compact"/>
        <w:numPr>
          <w:ilvl w:val="0"/>
          <w:numId w:val="1010"/>
        </w:numPr>
      </w:pPr>
      <w:r>
        <w:t xml:space="preserve">§5 Building Blocks: incluir “Especificación ejecutable (BDD)” como puente entre dominio y pruebas, enlazando a</w:t>
      </w:r>
      <w:r>
        <w:t xml:space="preserve"> </w:t>
      </w:r>
      <w:r>
        <w:rPr>
          <w:rStyle w:val="VerbatimChar"/>
        </w:rPr>
        <w:t xml:space="preserve">3_especificacion_tecnica/pruebas/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§9 ADRs: este ADR referencia 009–012; 09_decisiones_arquitectonicas.md se actualiza.</w:t>
      </w:r>
    </w:p>
    <w:bookmarkEnd w:id="25"/>
    <w:bookmarkStart w:id="27" w:name="reflejo-en-la-especificación-técnica"/>
    <w:p>
      <w:pPr>
        <w:pStyle w:val="Heading2"/>
      </w:pPr>
      <w:r>
        <w:t xml:space="preserve">Reflejo en la especificación técnica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3_especificacion_tecnica/pruebas/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Guía BDD (estructura de features, tags por PDN/RDN/Marco/CCL, convenciones de steps).</w:t>
      </w:r>
    </w:p>
    <w:p>
      <w:pPr>
        <w:pStyle w:val="Compact"/>
        <w:numPr>
          <w:ilvl w:val="1"/>
          <w:numId w:val="1012"/>
        </w:numPr>
      </w:pPr>
      <w:r>
        <w:t xml:space="preserve">Integración con golden sets y bundles (ADR-012): contrato de “Given” y “Then”.</w:t>
      </w:r>
    </w:p>
    <w:p>
      <w:pPr>
        <w:pStyle w:val="Compact"/>
        <w:numPr>
          <w:ilvl w:val="1"/>
          <w:numId w:val="1012"/>
        </w:numPr>
      </w:pPr>
      <w:r>
        <w:t xml:space="preserve">Pipeline: fast (SQLite) para steps/units; full (Postgres) para E2E.</w:t>
      </w:r>
    </w:p>
    <w:p>
      <w:pPr>
        <w:pStyle w:val="Compact"/>
        <w:numPr>
          <w:ilvl w:val="0"/>
          <w:numId w:val="1011"/>
        </w:numPr>
      </w:pPr>
      <w:r>
        <w:t xml:space="preserve">Versionado: features y bundles con SemVer y matrices por</w:t>
      </w:r>
      <w:r>
        <w:t xml:space="preserve"> </w:t>
      </w:r>
      <w:r>
        <w:rPr>
          <w:rStyle w:val="VerbatimChar"/>
        </w:rPr>
        <w:t xml:space="preserve">MarcoNormativo</w:t>
      </w:r>
      <w:r>
        <w:t xml:space="preserve">.</w:t>
      </w:r>
    </w:p>
    <w:bookmarkStart w:id="26" w:name="X13120b36fd6f44287493b93684e4d3a7b565cdc"/>
    <w:p>
      <w:pPr>
        <w:pStyle w:val="Heading3"/>
      </w:pPr>
      <w:r>
        <w:t xml:space="preserve">Cobertura declarativa y aserciones estándar</w:t>
      </w:r>
    </w:p>
    <w:p>
      <w:pPr>
        <w:pStyle w:val="Compact"/>
        <w:numPr>
          <w:ilvl w:val="0"/>
          <w:numId w:val="1013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manifest.yaml</w:t>
      </w:r>
      <w:r>
        <w:t xml:space="preserve"> </w:t>
      </w:r>
      <w:r>
        <w:t xml:space="preserve">de escenario debe declarar cobertura de proceso y reglas: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coverage.pdn.id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coverage.pdn.version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coverage.pdn.edn[]</w:t>
      </w:r>
      <w:r>
        <w:t xml:space="preserve"> </w:t>
      </w:r>
      <w:r>
        <w:t xml:space="preserve">(orden nominal del orquestador).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coverage.rdn_expected[]</w:t>
      </w:r>
      <w:r>
        <w:t xml:space="preserve"> </w:t>
      </w:r>
      <w:r>
        <w:t xml:space="preserve">(lista o patrones) y</w:t>
      </w:r>
      <w:r>
        <w:t xml:space="preserve"> </w:t>
      </w:r>
      <w:r>
        <w:rPr>
          <w:rStyle w:val="VerbatimChar"/>
        </w:rPr>
        <w:t xml:space="preserve">coverage.rdn_excluded[]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deben incluir Then de verificación de cobertura:</w:t>
      </w:r>
    </w:p>
    <w:p>
      <w:pPr>
        <w:pStyle w:val="Compact"/>
        <w:numPr>
          <w:ilvl w:val="1"/>
          <w:numId w:val="1015"/>
        </w:numPr>
      </w:pPr>
      <w:r>
        <w:t xml:space="preserve">“Then el PDN completó todas sus EDN declaradas”</w:t>
      </w:r>
    </w:p>
    <w:p>
      <w:pPr>
        <w:pStyle w:val="Compact"/>
        <w:numPr>
          <w:ilvl w:val="1"/>
          <w:numId w:val="1015"/>
        </w:numPr>
      </w:pPr>
      <w:r>
        <w:t xml:space="preserve">“And las RDN ejecutadas incluyen al menos las declaradas”</w:t>
      </w:r>
    </w:p>
    <w:p>
      <w:pPr>
        <w:pStyle w:val="Compact"/>
        <w:numPr>
          <w:ilvl w:val="1"/>
          <w:numId w:val="1015"/>
        </w:numPr>
      </w:pPr>
      <w:r>
        <w:t xml:space="preserve">“And no se ejecutaron RDN excluidas”</w:t>
      </w:r>
    </w:p>
    <w:p>
      <w:pPr>
        <w:pStyle w:val="Compact"/>
        <w:numPr>
          <w:ilvl w:val="0"/>
          <w:numId w:val="1013"/>
        </w:numPr>
      </w:pPr>
      <w:r>
        <w:t xml:space="preserve">Los step definitions validan</w:t>
      </w:r>
      <w:r>
        <w:t xml:space="preserve"> </w:t>
      </w:r>
      <w:r>
        <w:rPr>
          <w:rStyle w:val="VerbatimChar"/>
        </w:rPr>
        <w:t xml:space="preserve">coverage.*</w:t>
      </w:r>
      <w:r>
        <w:t xml:space="preserve"> </w:t>
      </w:r>
      <w:r>
        <w:t xml:space="preserve">contra telemetría de ejecución (ver ADR-009).</w:t>
      </w:r>
    </w:p>
    <w:bookmarkEnd w:id="26"/>
    <w:bookmarkEnd w:id="27"/>
    <w:bookmarkStart w:id="28" w:name="acciones"/>
    <w:p>
      <w:pPr>
        <w:pStyle w:val="Heading2"/>
      </w:pPr>
      <w:r>
        <w:t xml:space="preserve">Acciones</w:t>
      </w:r>
    </w:p>
    <w:p>
      <w:pPr>
        <w:pStyle w:val="Compact"/>
        <w:numPr>
          <w:ilvl w:val="0"/>
          <w:numId w:val="1016"/>
        </w:numPr>
      </w:pPr>
      <w:r>
        <w:t xml:space="preserve">Crear guía “BDD” en</w:t>
      </w:r>
      <w:r>
        <w:t xml:space="preserve"> </w:t>
      </w:r>
      <w:r>
        <w:rPr>
          <w:rStyle w:val="VerbatimChar"/>
        </w:rPr>
        <w:t xml:space="preserve">3_especificacion_tecnica/pruebas/</w:t>
      </w:r>
      <w:r>
        <w:t xml:space="preserve"> </w:t>
      </w:r>
      <w:r>
        <w:t xml:space="preserve">y ejemplos de features iniciales (otorgamiento y cálculo mensual).</w:t>
      </w:r>
    </w:p>
    <w:p>
      <w:pPr>
        <w:pStyle w:val="Compact"/>
        <w:numPr>
          <w:ilvl w:val="0"/>
          <w:numId w:val="1016"/>
        </w:numPr>
      </w:pPr>
      <w:r>
        <w:t xml:space="preserve">Configurar Cucumber.js (o runner elegido) con TypeScript y hooks de setup/teardown (DB, seeds, freeze time).</w:t>
      </w:r>
    </w:p>
    <w:p>
      <w:pPr>
        <w:pStyle w:val="Compact"/>
        <w:numPr>
          <w:ilvl w:val="0"/>
          <w:numId w:val="1016"/>
        </w:numPr>
      </w:pPr>
      <w:r>
        <w:t xml:space="preserve">Añadir tags y convenciones (ej.:</w:t>
      </w:r>
      <w:r>
        <w:t xml:space="preserve"> </w:t>
      </w:r>
      <w:r>
        <w:t xml:space="preserve">@PDN-PAG-003</w:t>
      </w:r>
      <w:r>
        <w:t xml:space="preserve">,</w:t>
      </w:r>
      <w:r>
        <w:t xml:space="preserve"> </w:t>
      </w:r>
      <w:r>
        <w:t xml:space="preserve">@Marco</w:t>
      </w:r>
      <w:r>
        <w:t xml:space="preserve">=params-vX.Y.Z,</w:t>
      </w:r>
      <w:r>
        <w:t xml:space="preserve"> </w:t>
      </w:r>
      <w:r>
        <w:t xml:space="preserve">@CCL</w:t>
      </w:r>
      <w:r>
        <w:t xml:space="preserve">=vA.B.C).</w:t>
      </w:r>
    </w:p>
    <w:p>
      <w:pPr>
        <w:pStyle w:val="Compact"/>
        <w:numPr>
          <w:ilvl w:val="0"/>
          <w:numId w:val="1016"/>
        </w:numPr>
      </w:pPr>
      <w:r>
        <w:t xml:space="preserve">Ajustar CI: job E2E ejecuta features sobre Postgres; publicar reportes (cucumber JSON/HTML).</w:t>
      </w:r>
    </w:p>
    <w:bookmarkEnd w:id="28"/>
    <w:bookmarkStart w:id="2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ADR-009, ADR-010, ADR-011, ADR-012</w:t>
      </w:r>
    </w:p>
    <w:p>
      <w:pPr>
        <w:pStyle w:val="Compact"/>
        <w:numPr>
          <w:ilvl w:val="0"/>
          <w:numId w:val="1017"/>
        </w:numPr>
      </w:pPr>
      <w:r>
        <w:t xml:space="preserve">arc42 §5, §6, §10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3_especificacion_tecnica/pruebas/00_piramide_tests.md</w:t>
      </w:r>
    </w:p>
    <w:bookmarkEnd w:id="29"/>
    <w:bookmarkStart w:id="30" w:name="X21a025c920445a412c26886654c11bea1fd6248"/>
    <w:p>
      <w:pPr>
        <w:pStyle w:val="Heading2"/>
      </w:pPr>
      <w:r>
        <w:t xml:space="preserve">Principios operativos (max impacto, mínimo costo)</w:t>
      </w:r>
    </w:p>
    <w:p>
      <w:pPr>
        <w:pStyle w:val="Compact"/>
        <w:numPr>
          <w:ilvl w:val="0"/>
          <w:numId w:val="1018"/>
        </w:numPr>
      </w:pPr>
      <w:r>
        <w:t xml:space="preserve">BDD a nivel de servicios/commands (no UI): los steps ejecutan Services/Commands (ADR-009).</w:t>
      </w:r>
    </w:p>
    <w:p>
      <w:pPr>
        <w:pStyle w:val="Compact"/>
        <w:numPr>
          <w:ilvl w:val="0"/>
          <w:numId w:val="1018"/>
        </w:numPr>
      </w:pPr>
      <w:r>
        <w:t xml:space="preserve">Datos por bundle/seed, no por steps: Given carga bundles (ADR-012) y fija freeze time; evitar tablas Gherkin extensas.</w:t>
      </w:r>
    </w:p>
    <w:p>
      <w:pPr>
        <w:pStyle w:val="Compact"/>
        <w:numPr>
          <w:ilvl w:val="0"/>
          <w:numId w:val="1018"/>
        </w:numPr>
      </w:pPr>
      <w:r>
        <w:t xml:space="preserve">Then determinista por golden sets: comparar outputs byte a byte (líneas CCL/totales); tolerancias solo justificadas.</w:t>
      </w:r>
    </w:p>
    <w:p>
      <w:pPr>
        <w:pStyle w:val="Compact"/>
        <w:numPr>
          <w:ilvl w:val="0"/>
          <w:numId w:val="1018"/>
        </w:numPr>
      </w:pPr>
      <w:r>
        <w:t xml:space="preserve">Pocos escenarios, muy representativos: 1–3 por PDN crítico; bordes numéricos vía property-based tests fuera de BDD.</w:t>
      </w:r>
    </w:p>
    <w:p>
      <w:pPr>
        <w:pStyle w:val="Compact"/>
        <w:numPr>
          <w:ilvl w:val="0"/>
          <w:numId w:val="1018"/>
        </w:numPr>
      </w:pPr>
      <w:r>
        <w:t xml:space="preserve">Reutilización mínima de steps: vocabulario chico, estable y tipado; evitar “step spaghetti”.</w:t>
      </w:r>
    </w:p>
    <w:p>
      <w:pPr>
        <w:pStyle w:val="Compact"/>
        <w:numPr>
          <w:ilvl w:val="0"/>
          <w:numId w:val="1018"/>
        </w:numPr>
      </w:pPr>
      <w:r>
        <w:t xml:space="preserve">Fast vs Full: ejecutar features críticas en Full CI (Postgres); permitir dry-runs rápidos locales (SQLite) solo para desarrollo.</w:t>
      </w:r>
    </w:p>
    <w:bookmarkEnd w:id="30"/>
    <w:bookmarkStart w:id="31" w:name="alcance-y-no-objetivos"/>
    <w:p>
      <w:pPr>
        <w:pStyle w:val="Heading2"/>
      </w:pPr>
      <w:r>
        <w:t xml:space="preserve">Alcance y no-objetivos</w:t>
      </w:r>
    </w:p>
    <w:p>
      <w:pPr>
        <w:pStyle w:val="Compact"/>
        <w:numPr>
          <w:ilvl w:val="0"/>
          <w:numId w:val="1019"/>
        </w:numPr>
      </w:pPr>
      <w:r>
        <w:t xml:space="preserve">Alcance: PDN de otorgamiento y pago mensual (PIM/PLI/redondeo), reliquidación multi-marco, idempotencia/locks básicos, verificación de outbox (stub o contrato).</w:t>
      </w:r>
    </w:p>
    <w:p>
      <w:pPr>
        <w:pStyle w:val="Compact"/>
        <w:numPr>
          <w:ilvl w:val="0"/>
          <w:numId w:val="1019"/>
        </w:numPr>
      </w:pPr>
      <w:r>
        <w:t xml:space="preserve">No-objetivos:</w:t>
      </w:r>
    </w:p>
    <w:p>
      <w:pPr>
        <w:pStyle w:val="Compact"/>
        <w:numPr>
          <w:ilvl w:val="1"/>
          <w:numId w:val="1020"/>
        </w:numPr>
      </w:pPr>
      <w:r>
        <w:t xml:space="preserve">UI end-to-end con navegadores.</w:t>
      </w:r>
    </w:p>
    <w:p>
      <w:pPr>
        <w:pStyle w:val="Compact"/>
        <w:numPr>
          <w:ilvl w:val="1"/>
          <w:numId w:val="1020"/>
        </w:numPr>
      </w:pPr>
      <w:r>
        <w:t xml:space="preserve">Migraciones/esquema (usar suites de migración).</w:t>
      </w:r>
    </w:p>
    <w:p>
      <w:pPr>
        <w:pStyle w:val="Compact"/>
        <w:numPr>
          <w:ilvl w:val="1"/>
          <w:numId w:val="1020"/>
        </w:numPr>
      </w:pPr>
      <w:r>
        <w:t xml:space="preserve">NFRs (performance/HA) completos en BDD (medir con suites de carga/SLI).</w:t>
      </w:r>
    </w:p>
    <w:p>
      <w:pPr>
        <w:pStyle w:val="Compact"/>
        <w:numPr>
          <w:ilvl w:val="1"/>
          <w:numId w:val="1020"/>
        </w:numPr>
      </w:pPr>
      <w:r>
        <w:t xml:space="preserve">Contratos HTTP/eventos en BDD (usar contract testing/JSON Schema).</w:t>
      </w:r>
    </w:p>
    <w:bookmarkEnd w:id="31"/>
    <w:bookmarkStart w:id="32" w:name="vocabulario-mínimo-de-steps"/>
    <w:p>
      <w:pPr>
        <w:pStyle w:val="Heading2"/>
      </w:pPr>
      <w:r>
        <w:t xml:space="preserve">Vocabulario mínimo de steps</w:t>
      </w:r>
    </w:p>
    <w:p>
      <w:pPr>
        <w:pStyle w:val="Compact"/>
        <w:numPr>
          <w:ilvl w:val="0"/>
          <w:numId w:val="1021"/>
        </w:numPr>
      </w:pPr>
      <w:r>
        <w:t xml:space="preserve">Given</w:t>
      </w:r>
    </w:p>
    <w:p>
      <w:pPr>
        <w:pStyle w:val="Compact"/>
        <w:numPr>
          <w:ilvl w:val="1"/>
          <w:numId w:val="1022"/>
        </w:numPr>
      </w:pPr>
      <w:r>
        <w:t xml:space="preserve">“Given el escenario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con Marco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y CCL</w:t>
      </w:r>
      <w:r>
        <w:t xml:space="preserve"> </w:t>
      </w:r>
      <w:r>
        <w:t xml:space="preserve">‘</w:t>
      </w:r>
      <w:r>
        <w:t xml:space="preserve">’</w:t>
      </w:r>
      <w:r>
        <w:t xml:space="preserve">”</w:t>
      </w:r>
    </w:p>
    <w:p>
      <w:pPr>
        <w:pStyle w:val="Compact"/>
        <w:numPr>
          <w:ilvl w:val="1"/>
          <w:numId w:val="1022"/>
        </w:numPr>
      </w:pPr>
      <w:r>
        <w:t xml:space="preserve">“And la fecha del sistema es</w:t>
      </w:r>
      <w:r>
        <w:t xml:space="preserve"> </w:t>
      </w:r>
      <w:r>
        <w:t xml:space="preserve">‘</w:t>
      </w:r>
      <w:r>
        <w:t xml:space="preserve">’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When</w:t>
      </w:r>
    </w:p>
    <w:p>
      <w:pPr>
        <w:pStyle w:val="Compact"/>
        <w:numPr>
          <w:ilvl w:val="1"/>
          <w:numId w:val="1023"/>
        </w:numPr>
      </w:pPr>
      <w:r>
        <w:t xml:space="preserve">“When ejecuto PDN</w:t>
      </w:r>
      <w:r>
        <w:t xml:space="preserve"> </w:t>
      </w:r>
      <w:r>
        <w:t xml:space="preserve">‘</w:t>
      </w:r>
      <w:r>
        <w:t xml:space="preserve">’</w:t>
      </w:r>
      <w:r>
        <w:t xml:space="preserve"> </w:t>
      </w:r>
      <w:r>
        <w:t xml:space="preserve">para el periodo</w:t>
      </w:r>
      <w:r>
        <w:t xml:space="preserve"> </w:t>
      </w:r>
      <w:r>
        <w:t xml:space="preserve">‘</w:t>
      </w:r>
      <w:r>
        <w:t xml:space="preserve">’</w:t>
      </w:r>
      <w:r>
        <w:t xml:space="preserve">”</w:t>
      </w:r>
    </w:p>
    <w:p>
      <w:pPr>
        <w:pStyle w:val="Compact"/>
        <w:numPr>
          <w:ilvl w:val="0"/>
          <w:numId w:val="1021"/>
        </w:numPr>
      </w:pPr>
      <w:r>
        <w:t xml:space="preserve">Then</w:t>
      </w:r>
    </w:p>
    <w:p>
      <w:pPr>
        <w:pStyle w:val="Compact"/>
        <w:numPr>
          <w:ilvl w:val="1"/>
          <w:numId w:val="1024"/>
        </w:numPr>
      </w:pPr>
      <w:r>
        <w:t xml:space="preserve">“Then las liquidaciones coinciden con el golden set”</w:t>
      </w:r>
    </w:p>
    <w:p>
      <w:pPr>
        <w:pStyle w:val="Compact"/>
        <w:numPr>
          <w:ilvl w:val="1"/>
          <w:numId w:val="1024"/>
        </w:numPr>
      </w:pPr>
      <w:r>
        <w:t xml:space="preserve">“And la ejecución es idempotente”</w:t>
      </w:r>
    </w:p>
    <w:p>
      <w:pPr>
        <w:pStyle w:val="Compact"/>
        <w:numPr>
          <w:ilvl w:val="1"/>
          <w:numId w:val="1024"/>
        </w:numPr>
      </w:pPr>
      <w:r>
        <w:t xml:space="preserve">“And no existen corridas simultáneas para el periodo”</w:t>
      </w:r>
    </w:p>
    <w:bookmarkEnd w:id="32"/>
    <w:bookmarkStart w:id="33" w:name="guías-de-autoría"/>
    <w:p>
      <w:pPr>
        <w:pStyle w:val="Heading2"/>
      </w:pPr>
      <w:r>
        <w:t xml:space="preserve">Guías de autoría</w:t>
      </w:r>
    </w:p>
    <w:p>
      <w:pPr>
        <w:pStyle w:val="Compact"/>
        <w:numPr>
          <w:ilvl w:val="0"/>
          <w:numId w:val="1025"/>
        </w:numPr>
      </w:pPr>
      <w:r>
        <w:t xml:space="preserve">Convenciones de tags:</w:t>
      </w:r>
      <w:r>
        <w:t xml:space="preserve"> </w:t>
      </w:r>
      <w:r>
        <w:rPr>
          <w:rStyle w:val="VerbatimChar"/>
        </w:rPr>
        <w:t xml:space="preserve">@PDN-PAG-003</w:t>
      </w:r>
      <w:r>
        <w:t xml:space="preserve"> </w:t>
      </w:r>
      <w:r>
        <w:rPr>
          <w:rStyle w:val="VerbatimChar"/>
        </w:rPr>
        <w:t xml:space="preserve">@Marco=params-vX.Y.Z</w:t>
      </w:r>
      <w:r>
        <w:t xml:space="preserve"> </w:t>
      </w:r>
      <w:r>
        <w:rPr>
          <w:rStyle w:val="VerbatimChar"/>
        </w:rPr>
        <w:t xml:space="preserve">@CCL=vA.B.C</w:t>
      </w:r>
      <w:r>
        <w:t xml:space="preserve"> </w:t>
      </w:r>
      <w:r>
        <w:rPr>
          <w:rStyle w:val="VerbatimChar"/>
        </w:rPr>
        <w:t xml:space="preserve">@Periodo=YYYY-MM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1 feature por PDN/tema; escenarios cortos (≤10 líneas).</w:t>
      </w:r>
    </w:p>
    <w:p>
      <w:pPr>
        <w:pStyle w:val="Compact"/>
        <w:numPr>
          <w:ilvl w:val="0"/>
          <w:numId w:val="1025"/>
        </w:numPr>
      </w:pPr>
      <w:r>
        <w:t xml:space="preserve">Usar bundles para datos; prohibido armar grafos por pasos.</w:t>
      </w:r>
    </w:p>
    <w:p>
      <w:pPr>
        <w:pStyle w:val="Compact"/>
        <w:numPr>
          <w:ilvl w:val="0"/>
          <w:numId w:val="1025"/>
        </w:numPr>
      </w:pPr>
      <w:r>
        <w:t xml:space="preserve">Mantener steps en TypeScript, con tipos para IDs y periodos; validar versiones antes de ejecutar.</w:t>
      </w:r>
    </w:p>
    <w:bookmarkEnd w:id="33"/>
    <w:bookmarkStart w:id="34" w:name="determinismo-y-calidad"/>
    <w:p>
      <w:pPr>
        <w:pStyle w:val="Heading2"/>
      </w:pPr>
      <w:r>
        <w:t xml:space="preserve">Determinismo y calidad</w:t>
      </w:r>
    </w:p>
    <w:p>
      <w:pPr>
        <w:pStyle w:val="Compact"/>
        <w:numPr>
          <w:ilvl w:val="0"/>
          <w:numId w:val="1026"/>
        </w:numPr>
      </w:pPr>
      <w:r>
        <w:t xml:space="preserve">Freeze time y zona horaria fija (UTC) en hooks de features.</w:t>
      </w:r>
    </w:p>
    <w:p>
      <w:pPr>
        <w:pStyle w:val="Compact"/>
        <w:numPr>
          <w:ilvl w:val="0"/>
          <w:numId w:val="1026"/>
        </w:numPr>
      </w:pPr>
      <w:r>
        <w:t xml:space="preserve">IDs estables (UUIDs fijos) y</w:t>
      </w:r>
      <w:r>
        <w:t xml:space="preserve"> </w:t>
      </w:r>
      <w:r>
        <w:rPr>
          <w:rStyle w:val="VerbatimChar"/>
        </w:rPr>
        <w:t xml:space="preserve">dataset_hash</w:t>
      </w:r>
      <w:r>
        <w:t xml:space="preserve"> </w:t>
      </w:r>
      <w:r>
        <w:t xml:space="preserve">en manifest.</w:t>
      </w:r>
    </w:p>
    <w:p>
      <w:pPr>
        <w:pStyle w:val="Compact"/>
        <w:numPr>
          <w:ilvl w:val="0"/>
          <w:numId w:val="1026"/>
        </w:numPr>
      </w:pPr>
      <w:r>
        <w:t xml:space="preserve">Idempotencia: assert de</w:t>
      </w:r>
      <w:r>
        <w:t xml:space="preserve"> </w:t>
      </w:r>
      <w:r>
        <w:rPr>
          <w:rStyle w:val="VerbatimChar"/>
        </w:rPr>
        <w:t xml:space="preserve">unique(periodo, prestacion_id)</w:t>
      </w:r>
      <w:r>
        <w:t xml:space="preserve"> </w:t>
      </w:r>
      <w:r>
        <w:t xml:space="preserve">y re-ejecución con mismo resultado.</w:t>
      </w:r>
    </w:p>
    <w:p>
      <w:pPr>
        <w:pStyle w:val="Compact"/>
        <w:numPr>
          <w:ilvl w:val="0"/>
          <w:numId w:val="1026"/>
        </w:numPr>
      </w:pPr>
      <w:r>
        <w:t xml:space="preserve">Outbox: validar contra eventos stub o contar/publicar en canal simulado, no broker real.</w:t>
      </w:r>
    </w:p>
    <w:bookmarkEnd w:id="34"/>
    <w:bookmarkStart w:id="35" w:name="layout-de-repositorio"/>
    <w:p>
      <w:pPr>
        <w:pStyle w:val="Heading2"/>
      </w:pPr>
      <w:r>
        <w:t xml:space="preserve">Layout de repositorio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features/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.feature</w:t>
      </w:r>
      <w:r>
        <w:t xml:space="preserve"> </w:t>
      </w:r>
      <w:r>
        <w:t xml:space="preserve">por PDN.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steps/</w:t>
      </w:r>
      <w:r>
        <w:t xml:space="preserve"> </w:t>
      </w:r>
      <w:r>
        <w:t xml:space="preserve">→ step definitions TS mínimas.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bundles/</w:t>
      </w:r>
      <w:r>
        <w:t xml:space="preserve"> </w:t>
      </w:r>
      <w:r>
        <w:t xml:space="preserve">→ escenarios consumibles (manifest, seed.sql, expected/).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support/</w:t>
      </w:r>
      <w:r>
        <w:t xml:space="preserve"> </w:t>
      </w:r>
      <w:r>
        <w:t xml:space="preserve">→ hooks (freeze time, DB bootstrap), matchers y utilidades.</w:t>
      </w:r>
    </w:p>
    <w:bookmarkEnd w:id="35"/>
    <w:bookmarkStart w:id="37" w:name="ci-y-ejecución"/>
    <w:p>
      <w:pPr>
        <w:pStyle w:val="Heading2"/>
      </w:pPr>
      <w:r>
        <w:t xml:space="preserve">CI y ejecución</w:t>
      </w:r>
    </w:p>
    <w:p>
      <w:pPr>
        <w:pStyle w:val="Compact"/>
        <w:numPr>
          <w:ilvl w:val="0"/>
          <w:numId w:val="1028"/>
        </w:numPr>
      </w:pPr>
      <w:r>
        <w:t xml:space="preserve">Fast (por PR): lint + unit/funcional + dry-run BDD opcional (SQLite) sin asserts de DB, solo smoke de steps.</w:t>
      </w:r>
    </w:p>
    <w:p>
      <w:pPr>
        <w:pStyle w:val="Compact"/>
        <w:numPr>
          <w:ilvl w:val="0"/>
          <w:numId w:val="1028"/>
        </w:numPr>
      </w:pPr>
      <w:r>
        <w:t xml:space="preserve">Full (por etiqueta/nightly): BDD E2E en Postgres (Testcontainers), migraciones y verificación de idempotencia/outbox.</w:t>
      </w:r>
    </w:p>
    <w:p>
      <w:pPr>
        <w:pStyle w:val="Compact"/>
        <w:numPr>
          <w:ilvl w:val="0"/>
          <w:numId w:val="1028"/>
        </w:numPr>
      </w:pPr>
      <w:r>
        <w:t xml:space="preserve">Artefactos: reportes Cucumber JSON/HTML, diffs de golden sets.</w:t>
      </w:r>
    </w:p>
    <w:bookmarkStart w:id="36" w:name="política-smoke-vs-full-concrete"/>
    <w:p>
      <w:pPr>
        <w:pStyle w:val="Heading3"/>
      </w:pPr>
      <w:r>
        <w:t xml:space="preserve">Política Smoke vs Full (concrete)</w:t>
      </w:r>
    </w:p>
    <w:p>
      <w:pPr>
        <w:pStyle w:val="Compact"/>
        <w:numPr>
          <w:ilvl w:val="0"/>
          <w:numId w:val="1029"/>
        </w:numPr>
      </w:pPr>
      <w:r>
        <w:t xml:space="preserve">Smoke (</w:t>
      </w:r>
      <w:r>
        <w:t xml:space="preserve">@SMOKE</w:t>
      </w:r>
      <w:r>
        <w:t xml:space="preserve">): valida estructura de salida (schema), cobertura EDN/RDN mínima y que el PDN no falle; no compara montos.</w:t>
      </w:r>
    </w:p>
    <w:p>
      <w:pPr>
        <w:pStyle w:val="Compact"/>
        <w:numPr>
          <w:ilvl w:val="0"/>
          <w:numId w:val="1029"/>
        </w:numPr>
      </w:pPr>
      <w:r>
        <w:t xml:space="preserve">Full: compara byte a byte contra golden sets, y además valida idempotencia y no concurrencia.</w:t>
      </w:r>
    </w:p>
    <w:bookmarkEnd w:id="36"/>
    <w:bookmarkEnd w:id="37"/>
    <w:bookmarkStart w:id="38" w:name="kpis-y-policy-de-mantenimiento"/>
    <w:p>
      <w:pPr>
        <w:pStyle w:val="Heading2"/>
      </w:pPr>
      <w:r>
        <w:t xml:space="preserve">KPIs y policy de mantenimiento</w:t>
      </w:r>
    </w:p>
    <w:p>
      <w:pPr>
        <w:pStyle w:val="Compact"/>
        <w:numPr>
          <w:ilvl w:val="0"/>
          <w:numId w:val="1030"/>
        </w:numPr>
      </w:pPr>
      <w:r>
        <w:t xml:space="preserve">KPIs:</w:t>
      </w:r>
    </w:p>
    <w:p>
      <w:pPr>
        <w:pStyle w:val="Compact"/>
        <w:numPr>
          <w:ilvl w:val="1"/>
          <w:numId w:val="1031"/>
        </w:numPr>
      </w:pPr>
      <w:r>
        <w:t xml:space="preserve">lead time de test (p95) &lt; 10 min en Full; tasa de flakiness &lt; 1%; cobertura BDD de PDN críticos ≥ 80%.</w:t>
      </w:r>
    </w:p>
    <w:p>
      <w:pPr>
        <w:pStyle w:val="Compact"/>
        <w:numPr>
          <w:ilvl w:val="1"/>
          <w:numId w:val="1031"/>
        </w:numPr>
      </w:pPr>
      <w:r>
        <w:t xml:space="preserve">tiempo de incorporación de un nuevo escenario ≤ 1 día.</w:t>
      </w:r>
    </w:p>
    <w:p>
      <w:pPr>
        <w:pStyle w:val="Compact"/>
        <w:numPr>
          <w:ilvl w:val="0"/>
          <w:numId w:val="1030"/>
        </w:numPr>
      </w:pPr>
      <w:r>
        <w:t xml:space="preserve">Política: eliminar/rehacer escenarios flaky; PR que cambia reglas debe actualizar bundle y golden set con changelog.</w:t>
      </w:r>
    </w:p>
    <w:bookmarkEnd w:id="38"/>
    <w:bookmarkStart w:id="39" w:name="anti-patrones-a-evitar"/>
    <w:p>
      <w:pPr>
        <w:pStyle w:val="Heading2"/>
      </w:pPr>
      <w:r>
        <w:t xml:space="preserve">Anti-patrones a evitar</w:t>
      </w:r>
    </w:p>
    <w:p>
      <w:pPr>
        <w:pStyle w:val="Compact"/>
        <w:numPr>
          <w:ilvl w:val="0"/>
          <w:numId w:val="1032"/>
        </w:numPr>
      </w:pPr>
      <w:r>
        <w:t xml:space="preserve">Steps literarios/granulares y reutilización excesiva.</w:t>
      </w:r>
    </w:p>
    <w:p>
      <w:pPr>
        <w:pStyle w:val="Compact"/>
        <w:numPr>
          <w:ilvl w:val="0"/>
          <w:numId w:val="1032"/>
        </w:numPr>
      </w:pPr>
      <w:r>
        <w:t xml:space="preserve">Datos creados por pasos (en vez de bundles).</w:t>
      </w:r>
    </w:p>
    <w:p>
      <w:pPr>
        <w:pStyle w:val="Compact"/>
        <w:numPr>
          <w:ilvl w:val="0"/>
          <w:numId w:val="1032"/>
        </w:numPr>
      </w:pPr>
      <w:r>
        <w:t xml:space="preserve">Dependencias de broker real/outbox en features.</w:t>
      </w:r>
    </w:p>
    <w:p>
      <w:pPr>
        <w:pStyle w:val="Compact"/>
        <w:numPr>
          <w:ilvl w:val="0"/>
          <w:numId w:val="1032"/>
        </w:numPr>
      </w:pPr>
      <w:r>
        <w:t xml:space="preserve">Features largas y con múltiples When/Then.</w:t>
      </w:r>
    </w:p>
    <w:bookmarkEnd w:id="39"/>
    <w:bookmarkStart w:id="40" w:name="plan-de-adopción"/>
    <w:p>
      <w:pPr>
        <w:pStyle w:val="Heading2"/>
      </w:pPr>
      <w:r>
        <w:t xml:space="preserve">Plan de adopción</w:t>
      </w:r>
    </w:p>
    <w:p>
      <w:pPr>
        <w:pStyle w:val="Compact"/>
        <w:numPr>
          <w:ilvl w:val="0"/>
          <w:numId w:val="1033"/>
        </w:numPr>
      </w:pPr>
      <w:r>
        <w:t xml:space="preserve">Crear guía BDD en</w:t>
      </w:r>
      <w:r>
        <w:t xml:space="preserve"> </w:t>
      </w:r>
      <w:r>
        <w:rPr>
          <w:rStyle w:val="VerbatimChar"/>
        </w:rPr>
        <w:t xml:space="preserve">3_especificacion_tecnica/pruebas/</w:t>
      </w:r>
      <w:r>
        <w:t xml:space="preserve"> </w:t>
      </w:r>
      <w:r>
        <w:t xml:space="preserve">con este vocabulario y ejemplos.</w:t>
      </w:r>
    </w:p>
    <w:p>
      <w:pPr>
        <w:pStyle w:val="Compact"/>
        <w:numPr>
          <w:ilvl w:val="0"/>
          <w:numId w:val="1033"/>
        </w:numPr>
      </w:pPr>
      <w:r>
        <w:t xml:space="preserve">Escribir 3 features iniciales: otorgamiento simple; cálculo mensual básico; idempotencia de pago.</w:t>
      </w:r>
    </w:p>
    <w:p>
      <w:pPr>
        <w:pStyle w:val="Compact"/>
        <w:numPr>
          <w:ilvl w:val="0"/>
          <w:numId w:val="1033"/>
        </w:numPr>
      </w:pPr>
      <w:r>
        <w:t xml:space="preserve">Integrar bundles de ADR-012; agregar hooks de freeze time y bootstrap DB.</w:t>
      </w:r>
    </w:p>
    <w:p>
      <w:pPr>
        <w:pStyle w:val="Compact"/>
        <w:numPr>
          <w:ilvl w:val="0"/>
          <w:numId w:val="1033"/>
        </w:numPr>
      </w:pPr>
      <w:r>
        <w:t xml:space="preserve">Configurar Cucumber.js + TS en CI Full; publicar reportes.</w:t>
      </w:r>
    </w:p>
    <w:p>
      <w:pPr>
        <w:pStyle w:val="Compact"/>
        <w:numPr>
          <w:ilvl w:val="0"/>
          <w:numId w:val="1033"/>
        </w:numPr>
      </w:pPr>
      <w:r>
        <w:t xml:space="preserve">Iterar agregando PDN críticos y bordes priorizados por riesgo.</w:t>
      </w:r>
    </w:p>
    <w:bookmarkEnd w:id="40"/>
    <w:bookmarkEnd w:id="41"/>
    <w:sectPr w:rsidR="00C94706">
      <w:headerReference r:id="rId6" w:type="even"/>
      <w:headerReference r:id="rId7" w:type="default"/>
      <w:footerReference r:id="rId8" w:type="even"/>
      <w:footerReference r:id="rId9" w:type="default"/>
      <w:headerReference r:id="rId10" w:type="first"/>
      <w:footerReference r:id="rId11" w:type="firs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77969610"/>
      <w:docPartObj>
        <w:docPartGallery w:val="Page Numbers (Bottom of Page)"/>
        <w:docPartUnique/>
      </w:docPartObj>
    </w:sdtPr>
    <w:sdtContent>
      <w:p w14:paraId="56141566" w14:textId="3634944E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2EC80C0" w14:textId="77777777" w:rsidR="00C94706" w:rsidRDefault="00C94706" w:rsidP="00C9470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6540692"/>
      <w:docPartObj>
        <w:docPartGallery w:val="Page Numbers (Bottom of Page)"/>
        <w:docPartUnique/>
      </w:docPartObj>
    </w:sdtPr>
    <w:sdtContent>
      <w:p w14:paraId="39828040" w14:textId="578D3B17" w:rsidR="00C94706" w:rsidRDefault="00C94706" w:rsidP="00322C9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7E1B8FC" w14:textId="65628ACF" w:rsidR="00C94706" w:rsidRDefault="00A449F4" w:rsidP="00C94706">
    <w:pPr>
      <w:pStyle w:val="Footer"/>
      <w:ind w:right="360"/>
    </w:pPr>
    <w:r>
      <w:fldChar w:fldCharType="begin"/>
    </w:r>
    <w:r>
      <w:rPr>
        <w:lang w:val="en-US"/>
      </w:rPr>
      <w:instrText xml:space="preserve"> DATE \@ "M/d/yy h:mm:ss am/pm" </w:instrText>
    </w:r>
    <w:r>
      <w:fldChar w:fldCharType="separate"/>
    </w:r>
    <w:r>
      <w:rPr>
        <w:noProof/>
        <w:lang w:val="en-US"/>
      </w:rPr>
      <w:t>8/8/25 7:45:14 AM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F36D9" w14:textId="77777777" w:rsidR="00A449F4" w:rsidRDefault="00A449F4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2106B" w14:textId="77777777" w:rsidR="00A449F4" w:rsidRDefault="00A449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45A19" w14:textId="77777777" w:rsidR="00A449F4" w:rsidRDefault="00A449F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031D" w14:textId="77777777" w:rsidR="00A449F4" w:rsidRDefault="00A449F4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88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06"/>
    <w:rsid w:val="005728A2"/>
    <w:rsid w:val="00A449F4"/>
    <w:rsid w:val="00B730E0"/>
    <w:rsid w:val="00C94706"/>
    <w:rsid w:val="00DE12AB"/>
  </w:rsids>
  <w:themeFontLang w:val="en-CL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CL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A449F4"/>
    <w:pPr>
      <w:spacing w:after="80" w:line="276" w:lineRule="auto"/>
    </w:pPr>
    <w:rPr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C94706"/>
    <w:pPr>
      <w:keepNext/>
      <w:keepLines/>
      <w:spacing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C94706"/>
    <w:pPr>
      <w:keepNext/>
      <w:keepLines/>
      <w:spacing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C94706"/>
    <w:pPr>
      <w:keepNext/>
      <w:keepLines/>
      <w:spacing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94706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94706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C94706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C94706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C94706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C94706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C94706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C94706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C94706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94706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94706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C94706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C94706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C94706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C94706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C94706"/>
    <w:pPr>
      <w:spacing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C9470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C94706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C94706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C94706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C94706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C94706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C94706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C9470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C94706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C94706"/>
    <w:rPr>
      <w:b/>
      <w:bCs/>
      <w:smallCaps/>
      <w:color w:themeColor="accent1" w:themeShade="BF" w:val="0F4761"/>
      <w:spacing w:val="5"/>
    </w:rPr>
  </w:style>
  <w:style w:styleId="Footer" w:type="paragraph">
    <w:name w:val="footer"/>
    <w:basedOn w:val="Normal"/>
    <w:link w:val="FooterChar"/>
    <w:uiPriority w:val="99"/>
    <w:unhideWhenUsed/>
    <w:rsid w:val="00C94706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C94706"/>
    <w:rPr>
      <w:sz w:val="22"/>
    </w:rPr>
  </w:style>
  <w:style w:styleId="PageNumber" w:type="character">
    <w:name w:val="page number"/>
    <w:basedOn w:val="DefaultParagraphFont"/>
    <w:uiPriority w:val="99"/>
    <w:semiHidden/>
    <w:unhideWhenUsed/>
    <w:rsid w:val="00C94706"/>
  </w:style>
  <w:style w:styleId="Header" w:type="paragraph">
    <w:name w:val="header"/>
    <w:basedOn w:val="Normal"/>
    <w:link w:val="HeaderChar"/>
    <w:uiPriority w:val="99"/>
    <w:unhideWhenUsed/>
    <w:rsid w:val="00A449F4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A449F4"/>
    <w:rPr>
      <w:sz w:val="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8" Target="footer1.xml" Type="http://schemas.openxmlformats.org/officeDocument/2006/relationships/footer" /><Relationship Id="rId7" Target="header2.xml" Type="http://schemas.openxmlformats.org/officeDocument/2006/relationships/header" /><Relationship Id="rId6" Target="header1.xml" Type="http://schemas.openxmlformats.org/officeDocument/2006/relationships/header" /><Relationship Id="rId11" Target="footer3.xml" Type="http://schemas.openxmlformats.org/officeDocument/2006/relationships/footer" /><Relationship Id="rId10" Target="header3.xml" Type="http://schemas.openxmlformats.org/officeDocument/2006/relationships/header" /><Relationship Id="rId9" Target="footer2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2025-08-12T11:50:46Z</dcterms:created>
  <dcterms:modified xsi:type="dcterms:W3CDTF">2025-08-12T11:50:46Z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11pt</vt:lpwstr>
  </property>
  <property fmtid="{D5CDD505-2E9C-101B-9397-08002B2CF9AE}" pid="3" name="linespacing">
    <vt:lpwstr>1.15</vt:lpwstr>
  </property>
</Properties>
</file>