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34a3f1ef0de2c6815de1bf174fcdba60e8386c"/>
    <w:p>
      <w:pPr>
        <w:pStyle w:val="Heading1"/>
      </w:pPr>
      <w:r>
        <w:t xml:space="preserve">ADR-014: Criterios de activación ES/CDC por módulo</w:t>
      </w:r>
    </w:p>
    <w:p>
      <w:pPr>
        <w:pStyle w:val="Compact"/>
        <w:numPr>
          <w:ilvl w:val="0"/>
          <w:numId w:val="1001"/>
        </w:numPr>
      </w:pPr>
      <w:r>
        <w:t xml:space="preserve">Estado: Propuesta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ADR-002 fija el baseline: CRUD como system-of-record + DomainEvents vía outbox + AppAudit/CDC técnico. Existen casos donde Event Sourcing (ES) o Change Data Capture (CDC) podrían aportar ventajas (replays de lógica, bitemporalidad de consulta, feeds analíticos). Faltaba un marco objetivo para activar estas alternativas por módulo, evitando drift arquitectónico.</w:t>
      </w:r>
    </w:p>
    <w:bookmarkEnd w:id="20"/>
    <w:bookmarkStart w:id="21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Adoptar un marco de decisión por módulo basado en checklist, matriz de puntuación y umbrales, con PoC obligatoria y observabilidad mínima. Este marco determina cuándo activar ES o CDC en lugar del baseline.</w:t>
      </w:r>
    </w:p>
    <w:bookmarkEnd w:id="21"/>
    <w:bookmarkStart w:id="22" w:name="criterios"/>
    <w:p>
      <w:pPr>
        <w:pStyle w:val="Heading2"/>
      </w:pPr>
      <w:r>
        <w:t xml:space="preserve">Criterios</w:t>
      </w:r>
    </w:p>
    <w:p>
      <w:pPr>
        <w:pStyle w:val="Compact"/>
        <w:numPr>
          <w:ilvl w:val="0"/>
          <w:numId w:val="1002"/>
        </w:numPr>
      </w:pPr>
      <w:r>
        <w:t xml:space="preserve">Checklist (Sí/No): replay determinista; consultas bitemporales operativas; predominio de auditoría de intención; volumen muy alto (≥5M eventos/día); latencia estricta &lt;50 ms; feeds incrementales a DWH; capacidad operativa.</w:t>
      </w:r>
    </w:p>
    <w:p>
      <w:pPr>
        <w:pStyle w:val="Compact"/>
        <w:numPr>
          <w:ilvl w:val="0"/>
          <w:numId w:val="1002"/>
        </w:numPr>
      </w:pPr>
      <w:r>
        <w:t xml:space="preserve">Puntuación (0–2 por criterio) y regla:</w:t>
      </w:r>
    </w:p>
    <w:p>
      <w:pPr>
        <w:pStyle w:val="Compact"/>
        <w:numPr>
          <w:ilvl w:val="1"/>
          <w:numId w:val="1003"/>
        </w:numPr>
      </w:pPr>
      <w:r>
        <w:t xml:space="preserve">ES si puntuación ≥6 y supera claramente a Baseline/CDC.</w:t>
      </w:r>
    </w:p>
    <w:p>
      <w:pPr>
        <w:pStyle w:val="Compact"/>
        <w:numPr>
          <w:ilvl w:val="1"/>
          <w:numId w:val="1003"/>
        </w:numPr>
      </w:pPr>
      <w:r>
        <w:t xml:space="preserve">CDC si puntuación ≥6 y no se requieren replays de lógica.</w:t>
      </w:r>
    </w:p>
    <w:p>
      <w:pPr>
        <w:pStyle w:val="Compact"/>
        <w:numPr>
          <w:ilvl w:val="1"/>
          <w:numId w:val="1003"/>
        </w:numPr>
      </w:pPr>
      <w:r>
        <w:t xml:space="preserve">Baseline en el resto o si latencia/simplicidad penalizan alternativas.</w:t>
      </w:r>
    </w:p>
    <w:bookmarkEnd w:id="22"/>
    <w:bookmarkStart w:id="23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04"/>
        </w:numPr>
      </w:pPr>
      <w:r>
        <w:t xml:space="preserve">(+) Decisiones consistentes y trazables; reducción de complejidad innecesaria; mejor alineación con SLO/SLI.</w:t>
      </w:r>
    </w:p>
    <w:p>
      <w:pPr>
        <w:pStyle w:val="Compact"/>
        <w:numPr>
          <w:ilvl w:val="0"/>
          <w:numId w:val="1004"/>
        </w:numPr>
      </w:pPr>
      <w:r>
        <w:t xml:space="preserve">(–) Esfuerzo adicional en PoC/observabilidad y en mantener ADRs por módulo.</w:t>
      </w:r>
    </w:p>
    <w:bookmarkEnd w:id="23"/>
    <w:bookmarkStart w:id="24" w:name="procedimiento"/>
    <w:p>
      <w:pPr>
        <w:pStyle w:val="Heading2"/>
      </w:pPr>
      <w:r>
        <w:t xml:space="preserve">Procedimiento</w:t>
      </w:r>
    </w:p>
    <w:p>
      <w:pPr>
        <w:pStyle w:val="Compact"/>
        <w:numPr>
          <w:ilvl w:val="0"/>
          <w:numId w:val="1005"/>
        </w:numPr>
      </w:pPr>
      <w:r>
        <w:t xml:space="preserve">Completar checklist con evidencias (volúmenes, SLO/SLI).</w:t>
      </w:r>
    </w:p>
    <w:p>
      <w:pPr>
        <w:pStyle w:val="Compact"/>
        <w:numPr>
          <w:ilvl w:val="0"/>
          <w:numId w:val="1005"/>
        </w:numPr>
      </w:pPr>
      <w:r>
        <w:t xml:space="preserve">Registrar ADR del módulo con scoring, pros/contras, runbooks.</w:t>
      </w:r>
    </w:p>
    <w:p>
      <w:pPr>
        <w:pStyle w:val="Compact"/>
        <w:numPr>
          <w:ilvl w:val="0"/>
          <w:numId w:val="1005"/>
        </w:numPr>
      </w:pPr>
      <w:r>
        <w:t xml:space="preserve">Ejecutar PoC (1–2 semanas) y medir p95/p99, lag, duplicados, costos.</w:t>
      </w:r>
    </w:p>
    <w:p>
      <w:pPr>
        <w:pStyle w:val="Compact"/>
        <w:numPr>
          <w:ilvl w:val="0"/>
          <w:numId w:val="1005"/>
        </w:numPr>
      </w:pPr>
      <w:r>
        <w:t xml:space="preserve">Si no cumple SLO/SLI, revertir a baseline.</w:t>
      </w:r>
    </w:p>
    <w:p>
      <w:pPr>
        <w:pStyle w:val="Compact"/>
        <w:numPr>
          <w:ilvl w:val="0"/>
          <w:numId w:val="1005"/>
        </w:numPr>
      </w:pPr>
      <w:r>
        <w:t xml:space="preserve">Activar dashboards y alarmas mínimos.</w:t>
      </w:r>
    </w:p>
    <w:bookmarkEnd w:id="24"/>
    <w:bookmarkStart w:id="25" w:name="aplicación-inicial"/>
    <w:p>
      <w:pPr>
        <w:pStyle w:val="Heading2"/>
      </w:pPr>
      <w:r>
        <w:t xml:space="preserve">Aplicación inicial</w:t>
      </w:r>
    </w:p>
    <w:p>
      <w:pPr>
        <w:pStyle w:val="Compact"/>
        <w:numPr>
          <w:ilvl w:val="0"/>
          <w:numId w:val="1006"/>
        </w:numPr>
      </w:pPr>
      <w:r>
        <w:t xml:space="preserve">PAG: Baseline; CDC para reportería (fuera del camino crítico).</w:t>
      </w:r>
    </w:p>
    <w:p>
      <w:pPr>
        <w:pStyle w:val="Compact"/>
        <w:numPr>
          <w:ilvl w:val="0"/>
          <w:numId w:val="1006"/>
        </w:numPr>
      </w:pPr>
      <w:r>
        <w:t xml:space="preserve">REP: CDC para feeds a almacenes de lectura/analítica.</w:t>
      </w:r>
    </w:p>
    <w:p>
      <w:pPr>
        <w:pStyle w:val="Compact"/>
        <w:numPr>
          <w:ilvl w:val="0"/>
          <w:numId w:val="1006"/>
        </w:numPr>
      </w:pPr>
      <w:r>
        <w:t xml:space="preserve">OTG/MANT: Baseline; ES sólo si se exige simulación de intención (no requerido hoy).</w:t>
      </w:r>
    </w:p>
    <w:p>
      <w:pPr>
        <w:pStyle w:val="Compact"/>
        <w:numPr>
          <w:ilvl w:val="0"/>
          <w:numId w:val="1006"/>
        </w:numPr>
      </w:pPr>
      <w:r>
        <w:t xml:space="preserve">Integraciones externas: Baseline + Outbox; CDC/ES no en camino crítico.</w:t>
      </w:r>
    </w:p>
    <w:bookmarkEnd w:id="25"/>
    <w:bookmarkStart w:id="26" w:name="historial"/>
    <w:p>
      <w:pPr>
        <w:pStyle w:val="Heading2"/>
      </w:pPr>
      <w:r>
        <w:t xml:space="preserve">Historial</w:t>
      </w:r>
    </w:p>
    <w:p>
      <w:pPr>
        <w:pStyle w:val="Compact"/>
        <w:numPr>
          <w:ilvl w:val="0"/>
          <w:numId w:val="1007"/>
        </w:numPr>
      </w:pPr>
      <w:r>
        <w:t xml:space="preserve">2025-08-09: Propuesta inicial.</w:t>
      </w:r>
    </w:p>
    <w:bookmarkEnd w:id="26"/>
    <w:bookmarkStart w:id="27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8"/>
        </w:numPr>
      </w:pPr>
      <w:r>
        <w:t xml:space="preserve">ADR-002: CRUD + eventos + auditoría</w:t>
      </w:r>
    </w:p>
    <w:p>
      <w:pPr>
        <w:pStyle w:val="Compact"/>
        <w:numPr>
          <w:ilvl w:val="0"/>
          <w:numId w:val="1008"/>
        </w:numPr>
      </w:pPr>
      <w:r>
        <w:t xml:space="preserve">arc42 §4.3/4.4 (criterios y aplicación)</w:t>
      </w:r>
    </w:p>
    <w:bookmarkEnd w:id="27"/>
    <w:bookmarkEnd w:id="28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2025-08-12T11:50:46Z</dcterms:created>
  <dcterms:modified xsi:type="dcterms:W3CDTF">2025-08-12T11:50:46Z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