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df38c391e86916867eacf9e2ce0e3ad1a61d86"/>
    <w:p>
      <w:pPr>
        <w:pStyle w:val="Heading1"/>
      </w:pPr>
      <w:r>
        <w:t xml:space="preserve">ADR-016: Aplicación inicial de ES/CDC y Evidencias (PEC)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ADR-002 define el baseline: CRUD como system-of-record + DomainEvents (outbox/idempotencia) + AppAudit/CDC técnico, sin replays deterministas.</w:t>
      </w:r>
    </w:p>
    <w:p>
      <w:pPr>
        <w:pStyle w:val="Compact"/>
        <w:numPr>
          <w:ilvl w:val="0"/>
          <w:numId w:val="1002"/>
        </w:numPr>
      </w:pPr>
      <w:r>
        <w:t xml:space="preserve">ADR-007 define el requerimiento de negocio para evidencias y trazabilidad por transacción/liquidación, con vínculo a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 </w:t>
      </w:r>
      <w:r>
        <w:t xml:space="preserve">y custodia WORM.</w:t>
      </w:r>
    </w:p>
    <w:p>
      <w:pPr>
        <w:pStyle w:val="Compact"/>
        <w:numPr>
          <w:ilvl w:val="0"/>
          <w:numId w:val="1002"/>
        </w:numPr>
      </w:pPr>
      <w:r>
        <w:t xml:space="preserve">ADR-014 establece criterios objetivos para activar ES/CDC por módulo; ADR-015 propone CDC para reportería/lecturas.</w:t>
      </w:r>
    </w:p>
    <w:p>
      <w:pPr>
        <w:pStyle w:val="FirstParagraph"/>
      </w:pPr>
      <w:r>
        <w:t xml:space="preserve">Se requiere documentar la aplicación inicial de estas decisiones en cada módulo del sistema PEC.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Adoptar la siguiente aplicación por módulo:</w:t>
      </w:r>
    </w:p>
    <w:p>
      <w:pPr>
        <w:pStyle w:val="Compact"/>
        <w:numPr>
          <w:ilvl w:val="0"/>
          <w:numId w:val="1003"/>
        </w:numPr>
      </w:pPr>
      <w:r>
        <w:t xml:space="preserve">OTG (Otorgamiento): Baseline. Sin ES. CDC opcional sólo para vistas de seguimiento (no camino crítico).</w:t>
      </w:r>
    </w:p>
    <w:p>
      <w:pPr>
        <w:pStyle w:val="Compact"/>
        <w:numPr>
          <w:ilvl w:val="0"/>
          <w:numId w:val="1003"/>
        </w:numPr>
      </w:pPr>
      <w:r>
        <w:t xml:space="preserve">MANT (Mantenimiento): Baseline. Sin ES. CDC opcional para dashboards operativos (no camino crítico).</w:t>
      </w:r>
    </w:p>
    <w:p>
      <w:pPr>
        <w:pStyle w:val="Compact"/>
        <w:numPr>
          <w:ilvl w:val="0"/>
          <w:numId w:val="1003"/>
        </w:numPr>
      </w:pPr>
      <w:r>
        <w:t xml:space="preserve">PAG (Pagos): Baseline para cálculo y orquestación. Sin ES. CDC no en camino crítico; sólo para alimentar reportería.</w:t>
      </w:r>
    </w:p>
    <w:p>
      <w:pPr>
        <w:pStyle w:val="Compact"/>
        <w:numPr>
          <w:ilvl w:val="0"/>
          <w:numId w:val="1003"/>
        </w:numPr>
      </w:pPr>
      <w:r>
        <w:t xml:space="preserve">REP (Reportería): Activar CDC para feeds incrementales y, cuando aplique, consultas bitemporales hacia almacenes de lectura/analítica, aislados del SoR (conforme ADR-015).</w:t>
      </w:r>
    </w:p>
    <w:p>
      <w:pPr>
        <w:pStyle w:val="Compact"/>
        <w:numPr>
          <w:ilvl w:val="0"/>
          <w:numId w:val="1003"/>
        </w:numPr>
      </w:pPr>
      <w:r>
        <w:t xml:space="preserve">Integraciones (Banco, PREVIRED, Registro Civil, SAP): Baseline + outbox/idempotencia; reconciliaciones. Sin ES/CDC en el camino crítico.</w:t>
      </w:r>
    </w:p>
    <w:p>
      <w:pPr>
        <w:pStyle w:val="Compact"/>
        <w:numPr>
          <w:ilvl w:val="0"/>
          <w:numId w:val="1003"/>
        </w:numPr>
      </w:pPr>
      <w:r>
        <w:t xml:space="preserve">Analítica/Monitoring: CDC dedicado para vistas analíticas/bitemporales, aislado del SoR.</w:t>
      </w:r>
    </w:p>
    <w:bookmarkEnd w:id="21"/>
    <w:bookmarkStart w:id="22" w:name="Xca3fcf5310c50177fac6de21bad2c919957a56a"/>
    <w:p>
      <w:pPr>
        <w:pStyle w:val="Heading2"/>
      </w:pPr>
      <w:r>
        <w:t xml:space="preserve">Evidencias y trazabilidad (exigencias mínimas ADR-007)</w:t>
      </w:r>
    </w:p>
    <w:p>
      <w:pPr>
        <w:pStyle w:val="Compact"/>
        <w:numPr>
          <w:ilvl w:val="0"/>
          <w:numId w:val="1004"/>
        </w:numPr>
      </w:pPr>
      <w:r>
        <w:t xml:space="preserve">Por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 </w:t>
      </w:r>
      <w:r>
        <w:t xml:space="preserve">y transacciones relevantes: registrar</w:t>
      </w:r>
      <w:r>
        <w:t xml:space="preserve"> </w:t>
      </w:r>
      <w:r>
        <w:rPr>
          <w:rStyle w:val="VerbatimChar"/>
        </w:rPr>
        <w:t xml:space="preserve">marco_normativo_id</w:t>
      </w:r>
      <w:r>
        <w:t xml:space="preserve"> </w:t>
      </w:r>
      <w:r>
        <w:t xml:space="preserve">(params/directiva),</w:t>
      </w:r>
      <w:r>
        <w:t xml:space="preserve"> </w:t>
      </w:r>
      <w:r>
        <w:rPr>
          <w:rStyle w:val="VerbatimChar"/>
        </w:rPr>
        <w:t xml:space="preserve">hash_ejecucion</w:t>
      </w:r>
      <w:r>
        <w:t xml:space="preserve"> </w:t>
      </w:r>
      <w:r>
        <w:t xml:space="preserve">(inputs relevantes + versiones),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Vincular operaciones a</w:t>
      </w:r>
      <w:r>
        <w:t xml:space="preserve"> </w:t>
      </w:r>
      <w:r>
        <w:rPr>
          <w:rStyle w:val="VerbatimChar"/>
        </w:rPr>
        <w:t xml:space="preserve">ExpedienteDeTramite (CUN)</w:t>
      </w:r>
      <w:r>
        <w:t xml:space="preserve"> </w:t>
      </w:r>
      <w:r>
        <w:t xml:space="preserve">cuando aplique.</w:t>
      </w:r>
    </w:p>
    <w:p>
      <w:pPr>
        <w:pStyle w:val="Compact"/>
        <w:numPr>
          <w:ilvl w:val="0"/>
          <w:numId w:val="1004"/>
        </w:numPr>
      </w:pPr>
      <w:r>
        <w:t xml:space="preserve">Publicaciones/ingestas: custodia WORM de archivos (hash + sello de tiempo + proveedor), AppAudit de envío/acuse y de motivos de exclusión.</w:t>
      </w:r>
    </w:p>
    <w:p>
      <w:pPr>
        <w:pStyle w:val="Compact"/>
        <w:numPr>
          <w:ilvl w:val="0"/>
          <w:numId w:val="1004"/>
        </w:numPr>
      </w:pPr>
      <w:r>
        <w:t xml:space="preserve">Procesos con</w:t>
      </w:r>
      <w:r>
        <w:t xml:space="preserve"> </w:t>
      </w:r>
      <w:r>
        <w:rPr>
          <w:rStyle w:val="VerbatimChar"/>
        </w:rPr>
        <w:t xml:space="preserve">VERF</w:t>
      </w:r>
      <w:r>
        <w:t xml:space="preserve">: registro de aprobación (usuario/rol/fecha) enlazado al CUN.</w:t>
      </w:r>
    </w:p>
    <w:bookmarkEnd w:id="22"/>
    <w:bookmarkStart w:id="23" w:name="justificación"/>
    <w:p>
      <w:pPr>
        <w:pStyle w:val="Heading2"/>
      </w:pPr>
      <w:r>
        <w:t xml:space="preserve">Justificación</w:t>
      </w:r>
    </w:p>
    <w:p>
      <w:pPr>
        <w:pStyle w:val="Compact"/>
        <w:numPr>
          <w:ilvl w:val="0"/>
          <w:numId w:val="1005"/>
        </w:numPr>
      </w:pPr>
      <w:r>
        <w:t xml:space="preserve">OTG/MANT/PAG no requieren replay determinista de lógica; la latencia/simplicidad del baseline favorece su adopción (ADR-014).</w:t>
      </w:r>
    </w:p>
    <w:p>
      <w:pPr>
        <w:pStyle w:val="Compact"/>
        <w:numPr>
          <w:ilvl w:val="0"/>
          <w:numId w:val="1005"/>
        </w:numPr>
      </w:pPr>
      <w:r>
        <w:t xml:space="preserve">REP/Analítica requieren feeds incrementales y potencial bitemporalidad; CDC reduce carga operacional del SoR y habilita SLA de reportería (ADR-015).</w:t>
      </w:r>
    </w:p>
    <w:bookmarkEnd w:id="23"/>
    <w:bookmarkStart w:id="24" w:name="alcance-y-lineamientos-técnicos"/>
    <w:p>
      <w:pPr>
        <w:pStyle w:val="Heading2"/>
      </w:pPr>
      <w:r>
        <w:t xml:space="preserve">Alcance y lineamientos técnicos</w:t>
      </w:r>
    </w:p>
    <w:p>
      <w:pPr>
        <w:pStyle w:val="Compact"/>
        <w:numPr>
          <w:ilvl w:val="0"/>
          <w:numId w:val="1006"/>
        </w:numPr>
      </w:pPr>
      <w:r>
        <w:t xml:space="preserve">CDC (REP/Analítica):</w:t>
      </w:r>
    </w:p>
    <w:p>
      <w:pPr>
        <w:pStyle w:val="Compact"/>
        <w:numPr>
          <w:ilvl w:val="1"/>
          <w:numId w:val="1007"/>
        </w:numPr>
      </w:pPr>
      <w:r>
        <w:t xml:space="preserve">Tablas iniciales:</w:t>
      </w:r>
      <w:r>
        <w:t xml:space="preserve"> </w:t>
      </w:r>
      <w:r>
        <w:rPr>
          <w:rStyle w:val="VerbatimChar"/>
        </w:rPr>
        <w:t xml:space="preserve">PrestacionEconomica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InformeRegulatorio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WormFiles</w:t>
      </w:r>
      <w:r>
        <w:t xml:space="preserve"> </w:t>
      </w:r>
      <w:r>
        <w:t xml:space="preserve">(metadatos).</w:t>
      </w:r>
    </w:p>
    <w:p>
      <w:pPr>
        <w:pStyle w:val="Compact"/>
        <w:numPr>
          <w:ilvl w:val="1"/>
          <w:numId w:val="1007"/>
        </w:numPr>
      </w:pPr>
      <w:r>
        <w:t xml:space="preserve">Contratos de topics y scrubbing de PII obligatorios; gobernanza de esquemas.</w:t>
      </w:r>
    </w:p>
    <w:p>
      <w:pPr>
        <w:pStyle w:val="Compact"/>
        <w:numPr>
          <w:ilvl w:val="1"/>
          <w:numId w:val="1007"/>
        </w:numPr>
      </w:pPr>
      <w:r>
        <w:t xml:space="preserve">Observabilidad: dashboards de lag/throughput/errores; alarmas por lag sostenido y error rate.</w:t>
      </w:r>
    </w:p>
    <w:p>
      <w:pPr>
        <w:pStyle w:val="Compact"/>
        <w:numPr>
          <w:ilvl w:val="0"/>
          <w:numId w:val="1006"/>
        </w:numPr>
      </w:pPr>
      <w:r>
        <w:t xml:space="preserve">Baseline (OTG/MANT/PAG/Integraciones):</w:t>
      </w:r>
    </w:p>
    <w:p>
      <w:pPr>
        <w:pStyle w:val="Compact"/>
        <w:numPr>
          <w:ilvl w:val="1"/>
          <w:numId w:val="1008"/>
        </w:numPr>
      </w:pPr>
      <w:r>
        <w:t xml:space="preserve">Idempotencia: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publication_attempts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AppAudit por etapa; correlación</w:t>
      </w:r>
      <w:r>
        <w:t xml:space="preserve"> </w:t>
      </w:r>
      <w:r>
        <w:rPr>
          <w:rStyle w:val="VerbatimChar"/>
        </w:rPr>
        <w:t xml:space="preserve">correlation_id/causation_id</w:t>
      </w:r>
      <w:r>
        <w:t xml:space="preserve"> </w:t>
      </w:r>
      <w:r>
        <w:t xml:space="preserve">end-to-end.</w:t>
      </w:r>
    </w:p>
    <w:p>
      <w:pPr>
        <w:pStyle w:val="Compact"/>
        <w:numPr>
          <w:ilvl w:val="1"/>
          <w:numId w:val="1008"/>
        </w:numPr>
      </w:pPr>
      <w:r>
        <w:t xml:space="preserve">WORM para archivos de salida/entrada.</w:t>
      </w:r>
    </w:p>
    <w:bookmarkEnd w:id="24"/>
    <w:bookmarkStart w:id="25" w:name="slosli-a-concretar"/>
    <w:p>
      <w:pPr>
        <w:pStyle w:val="Heading2"/>
      </w:pPr>
      <w:r>
        <w:t xml:space="preserve">SLO/SLI (a concretar)</w:t>
      </w:r>
    </w:p>
    <w:p>
      <w:pPr>
        <w:pStyle w:val="Compact"/>
        <w:numPr>
          <w:ilvl w:val="0"/>
          <w:numId w:val="1009"/>
        </w:numPr>
      </w:pPr>
      <w:r>
        <w:t xml:space="preserve">Completar</w:t>
      </w:r>
      <w:r>
        <w:t xml:space="preserve"> </w:t>
      </w:r>
      <w:r>
        <w:rPr>
          <w:rStyle w:val="VerbatimChar"/>
        </w:rPr>
        <w:t xml:space="preserve">3_especificacion_tecnica/performance/03_slo_sli_capacidad.md</w:t>
      </w:r>
      <w:r>
        <w:t xml:space="preserve"> </w:t>
      </w:r>
      <w:r>
        <w:t xml:space="preserve">con metas por dominio:</w:t>
      </w:r>
    </w:p>
    <w:p>
      <w:pPr>
        <w:pStyle w:val="Compact"/>
        <w:numPr>
          <w:ilvl w:val="1"/>
          <w:numId w:val="1010"/>
        </w:numPr>
      </w:pPr>
      <w:r>
        <w:t xml:space="preserve">CDC: lag P95/P99, throughput, duplicados/clave.</w:t>
      </w:r>
    </w:p>
    <w:p>
      <w:pPr>
        <w:pStyle w:val="Compact"/>
        <w:numPr>
          <w:ilvl w:val="1"/>
          <w:numId w:val="1010"/>
        </w:numPr>
      </w:pPr>
      <w:r>
        <w:t xml:space="preserve">PAG/OTG/MANT: p95 de cálculo por caso/batch, p99 de endpoints, errores/idempotencia.</w:t>
      </w:r>
    </w:p>
    <w:bookmarkEnd w:id="25"/>
    <w:bookmarkStart w:id="26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11"/>
        </w:numPr>
      </w:pPr>
      <w:r>
        <w:t xml:space="preserve">(+) Trazabilidad y evidencias alineadas a negocio (ADR-007) sin complejidad innecesaria en el camino crítico.</w:t>
      </w:r>
    </w:p>
    <w:p>
      <w:pPr>
        <w:pStyle w:val="Compact"/>
        <w:numPr>
          <w:ilvl w:val="0"/>
          <w:numId w:val="1011"/>
        </w:numPr>
      </w:pPr>
      <w:r>
        <w:t xml:space="preserve">(+) Reporterías y lecturas aisladas con CDC; menor carga en el SoR.</w:t>
      </w:r>
    </w:p>
    <w:p>
      <w:pPr>
        <w:pStyle w:val="Compact"/>
        <w:numPr>
          <w:ilvl w:val="0"/>
          <w:numId w:val="1011"/>
        </w:numPr>
      </w:pPr>
      <w:r>
        <w:t xml:space="preserve">(–) Operación adicional de conectores/broker y gobierno de esquemas para CDC.</w:t>
      </w:r>
    </w:p>
    <w:bookmarkEnd w:id="26"/>
    <w:bookmarkStart w:id="27" w:name="plan-y-aceptación"/>
    <w:p>
      <w:pPr>
        <w:pStyle w:val="Heading2"/>
      </w:pPr>
      <w:r>
        <w:t xml:space="preserve">Plan y aceptación</w:t>
      </w:r>
    </w:p>
    <w:p>
      <w:pPr>
        <w:pStyle w:val="Compact"/>
        <w:numPr>
          <w:ilvl w:val="0"/>
          <w:numId w:val="1012"/>
        </w:numPr>
      </w:pPr>
      <w:r>
        <w:t xml:space="preserve">PoC CDC con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/</w:t>
      </w:r>
      <w:r>
        <w:rPr>
          <w:rStyle w:val="VerbatimChar"/>
        </w:rPr>
        <w:t xml:space="preserve">ConceptoLiquidacion</w:t>
      </w:r>
      <w:r>
        <w:t xml:space="preserve">; medir lag/throughput/errores.</w:t>
      </w:r>
    </w:p>
    <w:p>
      <w:pPr>
        <w:pStyle w:val="Compact"/>
        <w:numPr>
          <w:ilvl w:val="0"/>
          <w:numId w:val="1012"/>
        </w:numPr>
      </w:pPr>
      <w:r>
        <w:t xml:space="preserve">Completar SLO/SLI y contratos de topics; scrubbing PII.</w:t>
      </w:r>
    </w:p>
    <w:p>
      <w:pPr>
        <w:pStyle w:val="Compact"/>
        <w:numPr>
          <w:ilvl w:val="0"/>
          <w:numId w:val="1012"/>
        </w:numPr>
      </w:pPr>
      <w:r>
        <w:t xml:space="preserve">Añadir verificaciones de evidencias mínimas en EV (Anexo G).</w:t>
      </w:r>
    </w:p>
    <w:p>
      <w:pPr>
        <w:pStyle w:val="Compact"/>
        <w:numPr>
          <w:ilvl w:val="0"/>
          <w:numId w:val="1012"/>
        </w:numPr>
      </w:pPr>
      <w:r>
        <w:t xml:space="preserve">Cerrar ADR con resultados y pasar a Aceptada si cumple SLO/SLI.</w:t>
      </w:r>
    </w:p>
    <w:bookmarkEnd w:id="27"/>
    <w:bookmarkStart w:id="28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3"/>
        </w:numPr>
      </w:pPr>
      <w:r>
        <w:t xml:space="preserve">ADR-002: CRUD + eventos + auditoría (baseline)</w:t>
      </w:r>
    </w:p>
    <w:p>
      <w:pPr>
        <w:pStyle w:val="Compact"/>
        <w:numPr>
          <w:ilvl w:val="0"/>
          <w:numId w:val="1013"/>
        </w:numPr>
      </w:pPr>
      <w:r>
        <w:t xml:space="preserve">ADR-007: Evidencias y trazabilidad</w:t>
      </w:r>
    </w:p>
    <w:p>
      <w:pPr>
        <w:pStyle w:val="Compact"/>
        <w:numPr>
          <w:ilvl w:val="0"/>
          <w:numId w:val="1013"/>
        </w:numPr>
      </w:pPr>
      <w:r>
        <w:t xml:space="preserve">ADR-014: Criterios ES/CDC por módulo</w:t>
      </w:r>
    </w:p>
    <w:p>
      <w:pPr>
        <w:pStyle w:val="Compact"/>
        <w:numPr>
          <w:ilvl w:val="0"/>
          <w:numId w:val="1013"/>
        </w:numPr>
      </w:pPr>
      <w:r>
        <w:t xml:space="preserve">ADR-015: CDC para reportería</w:t>
      </w:r>
    </w:p>
    <w:p>
      <w:pPr>
        <w:pStyle w:val="Compact"/>
        <w:numPr>
          <w:ilvl w:val="0"/>
          <w:numId w:val="1013"/>
        </w:numPr>
      </w:pPr>
      <w:r>
        <w:t xml:space="preserve">arc42 §4.3/4.4;</w:t>
      </w:r>
      <w:r>
        <w:t xml:space="preserve"> </w:t>
      </w:r>
      <w:r>
        <w:rPr>
          <w:rStyle w:val="VerbatimChar"/>
        </w:rPr>
        <w:t xml:space="preserve">1_dominio</w:t>
      </w:r>
      <w:r>
        <w:t xml:space="preserve"> </w:t>
      </w:r>
      <w:r>
        <w:t xml:space="preserve">Anexos C, D, G</w:t>
      </w:r>
    </w:p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2025-08-12T11:50:47Z</dcterms:created>
  <dcterms:modified xsi:type="dcterms:W3CDTF">2025-08-12T11:50:47Z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