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ca49eb7fb2095e3c38a7e6acfce0b4344c7b0b"/>
    <w:p>
      <w:pPr>
        <w:pStyle w:val="Heading1"/>
      </w:pPr>
      <w:r>
        <w:t xml:space="preserve">ADR-018: Herramientas de Scaffolding para Consistencia Arquitectónica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Propuesta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2025-08-10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Una arquitectura basada en patrones específicos, como la definida en</w:t>
      </w:r>
      <w:r>
        <w:t xml:space="preserve"> </w:t>
      </w:r>
      <w:r>
        <w:rPr>
          <w:rStyle w:val="VerbatimChar"/>
        </w:rPr>
        <w:t xml:space="preserve">ADR-017</w:t>
      </w:r>
      <w:r>
        <w:t xml:space="preserve">, requiere la creación de múltiples archivos y código repetitivo para cada nueva funcionalidad. Realizar este proceso manualmente es lento, propenso a errores y arriesga la consistencia de la arquitectura a largo plazo.</w:t>
      </w:r>
    </w:p>
    <w:bookmarkEnd w:id="20"/>
    <w:bookmarkStart w:id="22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Se adopta como principio arquitectónico que</w:t>
      </w:r>
      <w:r>
        <w:t xml:space="preserve"> </w:t>
      </w:r>
      <w:r>
        <w:t xml:space="preserve">“la forma correcta debe ser también la forma más fácil”</w:t>
      </w:r>
      <w:r>
        <w:t xml:space="preserve">. Para ello, se implementará una</w:t>
      </w:r>
      <w:r>
        <w:t xml:space="preserve"> </w:t>
      </w:r>
      <w:r>
        <w:rPr>
          <w:b/>
          <w:bCs/>
        </w:rPr>
        <w:t xml:space="preserve">suite de herramientas de scaffolding personalizado</w:t>
      </w:r>
      <w:r>
        <w:t xml:space="preserve"> </w:t>
      </w:r>
      <w:r>
        <w:t xml:space="preserve">utilizando los sistemas de Comandos (</w:t>
      </w:r>
      <w:r>
        <w:rPr>
          <w:rStyle w:val="VerbatimChar"/>
        </w:rPr>
        <w:t xml:space="preserve">ace</w:t>
      </w:r>
      <w:r>
        <w:t xml:space="preserve">) y Plantillas (</w:t>
      </w:r>
      <w:r>
        <w:rPr>
          <w:rStyle w:val="VerbatimChar"/>
        </w:rPr>
        <w:t xml:space="preserve">Stubs</w:t>
      </w:r>
      <w:r>
        <w:t xml:space="preserve">) de AdonisJS. El objetivo es automatizar la creación de todos los componentes recurrentes de nuestra arquitectura.</w:t>
      </w:r>
    </w:p>
    <w:bookmarkStart w:id="21" w:name="suite-de-comandos-propuesta"/>
    <w:p>
      <w:pPr>
        <w:pStyle w:val="Heading3"/>
      </w:pPr>
      <w:r>
        <w:t xml:space="preserve">Suite de Comandos Propuesta</w:t>
      </w:r>
    </w:p>
    <w:p>
      <w:pPr>
        <w:pStyle w:val="FirstParagraph"/>
      </w:pPr>
      <w:r>
        <w:t xml:space="preserve">Se creará un comando</w:t>
      </w:r>
      <w:r>
        <w:t xml:space="preserve"> </w:t>
      </w:r>
      <w:r>
        <w:rPr>
          <w:rStyle w:val="VerbatimChar"/>
        </w:rPr>
        <w:t xml:space="preserve">make:*</w:t>
      </w:r>
      <w:r>
        <w:t xml:space="preserve"> </w:t>
      </w:r>
      <w:r>
        <w:t xml:space="preserve">para cada componente clave: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make:action &lt;NombreProceso&gt;</w:t>
      </w:r>
      <w:r>
        <w:rPr>
          <w:b/>
          <w:bCs/>
        </w:rPr>
        <w:t xml:space="preserve">:</w:t>
      </w:r>
      <w:r>
        <w:t xml:space="preserve"> </w:t>
      </w:r>
      <w:r>
        <w:t xml:space="preserve">Genera la clase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para un PDN, implementando la interfaz requerida y su archivo de prueba.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make:rule &lt;ID_Regla&gt; --type=&lt;tipo&gt;</w:t>
      </w:r>
      <w:r>
        <w:rPr>
          <w:b/>
          <w:bCs/>
        </w:rPr>
        <w:t xml:space="preserve">:</w:t>
      </w:r>
      <w:r>
        <w:t xml:space="preserve"> </w:t>
      </w:r>
      <w:r>
        <w:t xml:space="preserve">Genera el esqueleto para una RDN (</w:t>
      </w:r>
      <w:r>
        <w:rPr>
          <w:rStyle w:val="VerbatimChar"/>
        </w:rPr>
        <w:t xml:space="preserve">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</w:t>
      </w:r>
      <w:r>
        <w:t xml:space="preserve">, etc.), ubicándola en el directorio correcto.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make:listener &lt;NombreEvento&gt;</w:t>
      </w:r>
      <w:r>
        <w:rPr>
          <w:b/>
          <w:bCs/>
        </w:rPr>
        <w:t xml:space="preserve">:</w:t>
      </w:r>
      <w:r>
        <w:t xml:space="preserve"> </w:t>
      </w:r>
      <w:r>
        <w:t xml:space="preserve">Genera una nueva clase</w:t>
      </w:r>
      <w:r>
        <w:t xml:space="preserve"> </w:t>
      </w:r>
      <w:r>
        <w:rPr>
          <w:rStyle w:val="VerbatimChar"/>
        </w:rPr>
        <w:t xml:space="preserve">Listener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app/Listeners/</w:t>
      </w:r>
      <w:r>
        <w:t xml:space="preserve"> </w:t>
      </w:r>
      <w:r>
        <w:t xml:space="preserve">y la registra para escuchar un evento de dominio específico.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make:builder &lt;NombreObjeto&gt;</w:t>
      </w:r>
      <w:r>
        <w:rPr>
          <w:b/>
          <w:bCs/>
        </w:rPr>
        <w:t xml:space="preserve">:</w:t>
      </w:r>
      <w:r>
        <w:t xml:space="preserve"> </w:t>
      </w:r>
      <w:r>
        <w:t xml:space="preserve">Genera una clase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app/Builders/</w:t>
      </w:r>
      <w:r>
        <w:t xml:space="preserve"> </w:t>
      </w:r>
      <w:r>
        <w:t xml:space="preserve">con la estructura estándar del patrón.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make:test &lt;ID_Escenario&gt;</w:t>
      </w:r>
      <w:r>
        <w:rPr>
          <w:b/>
          <w:bCs/>
        </w:rPr>
        <w:t xml:space="preserve">:</w:t>
      </w:r>
      <w:r>
        <w:t xml:space="preserve"> </w:t>
      </w:r>
      <w:r>
        <w:t xml:space="preserve">Genera un archivo de prueba (</w:t>
      </w:r>
      <w:r>
        <w:rPr>
          <w:rStyle w:val="VerbatimChar"/>
        </w:rPr>
        <w:t xml:space="preserve">.spec.ts</w:t>
      </w:r>
      <w:r>
        <w:t xml:space="preserve">) con la estructura BDD (Given/When/Then) para un Escenario de Verificación (EV) del dominio.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make:adr "&lt;Título&gt;"</w:t>
      </w:r>
      <w:r>
        <w:rPr>
          <w:b/>
          <w:bCs/>
        </w:rPr>
        <w:t xml:space="preserve">:</w:t>
      </w:r>
      <w:r>
        <w:t xml:space="preserve"> </w:t>
      </w:r>
      <w:r>
        <w:t xml:space="preserve">Genera un nuevo archivo ADR en</w:t>
      </w:r>
      <w:r>
        <w:t xml:space="preserve"> </w:t>
      </w:r>
      <w:r>
        <w:rPr>
          <w:rStyle w:val="VerbatimChar"/>
        </w:rPr>
        <w:t xml:space="preserve">2_arquitectura/adrs/</w:t>
      </w:r>
      <w:r>
        <w:t xml:space="preserve"> </w:t>
      </w:r>
      <w:r>
        <w:t xml:space="preserve">a partir de una plantilla estándar.</w:t>
      </w:r>
    </w:p>
    <w:bookmarkEnd w:id="21"/>
    <w:bookmarkEnd w:id="22"/>
    <w:bookmarkStart w:id="23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(+) Productividad Acelerada:</w:t>
      </w:r>
      <w:r>
        <w:t xml:space="preserve"> </w:t>
      </w:r>
      <w:r>
        <w:t xml:space="preserve">Reduce significativamente el tiempo de desarrollo para nuevas funcionalidades.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(+) Consistencia Arquitectónica:</w:t>
      </w:r>
      <w:r>
        <w:t xml:space="preserve"> </w:t>
      </w:r>
      <w:r>
        <w:t xml:space="preserve">Garantiza que todos los componentes sigan las mismas convenciones y estructura, previniendo la deriva arquitectónica.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(+) Reducción de Errores:</w:t>
      </w:r>
      <w:r>
        <w:t xml:space="preserve"> </w:t>
      </w:r>
      <w:r>
        <w:t xml:space="preserve">Minimiza errores comunes de tipeo o de estructura en el código repetitivo.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(+) Facilita el Onboarding:</w:t>
      </w:r>
      <w:r>
        <w:t xml:space="preserve"> </w:t>
      </w:r>
      <w:r>
        <w:t xml:space="preserve">Los nuevos desarrolladores son guiados por las herramientas para construir componentes de la manera correcta.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(-) Costo de Mantenimiento del Tooling:</w:t>
      </w:r>
      <w:r>
        <w:t xml:space="preserve"> </w:t>
      </w:r>
      <w:r>
        <w:t xml:space="preserve">La suite de scaffolding debe ser mantenida y actualizada si la arquitectura evoluciona.</w:t>
      </w:r>
    </w:p>
    <w:bookmarkEnd w:id="23"/>
    <w:bookmarkStart w:id="24" w:name="relación-con-otros-adrs"/>
    <w:p>
      <w:pPr>
        <w:pStyle w:val="Heading2"/>
      </w:pPr>
      <w:r>
        <w:t xml:space="preserve">Relación con Otros ADRs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Soporta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ADR-017</w:t>
      </w:r>
      <w:r>
        <w:rPr>
          <w:b/>
          <w:bCs/>
        </w:rPr>
        <w:t xml:space="preserve">:</w:t>
      </w:r>
      <w:r>
        <w:t xml:space="preserve"> </w:t>
      </w:r>
      <w:r>
        <w:t xml:space="preserve">Provee las herramientas para implementar de manera eficiente los patrones de Acción, Listener y Builder definidos en dicho ADR.</w:t>
      </w:r>
    </w:p>
    <w:bookmarkEnd w:id="24"/>
    <w:bookmarkEnd w:id="25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2025-08-12T11:50:51Z</dcterms:created>
  <dcterms:modified xsi:type="dcterms:W3CDTF">2025-08-12T11:50:51Z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