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ntroducción-y-objetivos"/>
    <w:p>
      <w:pPr>
        <w:pStyle w:val="Heading1"/>
      </w:pPr>
      <w:r>
        <w:t xml:space="preserve">1. Introducción y Objetivos</w:t>
      </w:r>
    </w:p>
    <w:p>
      <w:pPr>
        <w:pStyle w:val="FirstParagraph"/>
      </w:pPr>
      <w:r>
        <w:t xml:space="preserve">Sistema PEC/MDLO: plataforma de prestaciones económicas que prioriza inmutabilidad, auditabilidad y trazabilidad, alineada a la normativa vigente y su evolución. Este documento resume drivers, metas de calidad y actores clave, como base para las decisiones arquitectónicas y de diseño.</w:t>
      </w:r>
    </w:p>
    <w:bookmarkStart w:id="20" w:name="drivers-y-fuerzas-impulsoras"/>
    <w:p>
      <w:pPr>
        <w:pStyle w:val="Heading2"/>
      </w:pPr>
      <w:r>
        <w:t xml:space="preserve">1.1 Drivers y fuerzas impulsoras</w:t>
      </w:r>
    </w:p>
    <w:p>
      <w:pPr>
        <w:pStyle w:val="Compact"/>
        <w:numPr>
          <w:ilvl w:val="0"/>
          <w:numId w:val="1001"/>
        </w:numPr>
      </w:pPr>
      <w:r>
        <w:t xml:space="preserve">Cumplimiento normativo estricto (SUSESO/IPS) con evidencia reproducible en el tiempo.</w:t>
      </w:r>
    </w:p>
    <w:p>
      <w:pPr>
        <w:pStyle w:val="Compact"/>
        <w:numPr>
          <w:ilvl w:val="0"/>
          <w:numId w:val="1001"/>
        </w:numPr>
      </w:pPr>
      <w:r>
        <w:t xml:space="preserve">Trazabilidad operativa acotada a necesidades de reclamos e investigación: explicar cálculo (pasos clave) y custodiar evidencias de envíos/ingestas.</w:t>
      </w:r>
    </w:p>
    <w:p>
      <w:pPr>
        <w:pStyle w:val="Compact"/>
        <w:numPr>
          <w:ilvl w:val="0"/>
          <w:numId w:val="1001"/>
        </w:numPr>
      </w:pPr>
      <w:r>
        <w:t xml:space="preserve">Evolución normativa: ejecución de reglas bajo un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 </w:t>
      </w:r>
      <w:r>
        <w:t xml:space="preserve">versionado y con vigencias.</w:t>
      </w:r>
    </w:p>
    <w:p>
      <w:pPr>
        <w:pStyle w:val="Compact"/>
        <w:numPr>
          <w:ilvl w:val="0"/>
          <w:numId w:val="1001"/>
        </w:numPr>
      </w:pPr>
      <w:r>
        <w:t xml:space="preserve">Operación confiable en procesos masivos (nóminas, reportería), con idempotencia en integraciones y conciliación oportuna.</w:t>
      </w:r>
    </w:p>
    <w:p>
      <w:pPr>
        <w:pStyle w:val="Compact"/>
        <w:numPr>
          <w:ilvl w:val="0"/>
          <w:numId w:val="1001"/>
        </w:numPr>
      </w:pPr>
      <w:r>
        <w:t xml:space="preserve">Claridad de negocio: catálogo único de conceptos de liquidación (CCL) y gobierno de acuerdos de pago.</w:t>
      </w:r>
    </w:p>
    <w:bookmarkEnd w:id="20"/>
    <w:bookmarkStart w:id="21" w:name="objetivosmetas-de-calidad-medibles"/>
    <w:p>
      <w:pPr>
        <w:pStyle w:val="Heading2"/>
      </w:pPr>
      <w:r>
        <w:t xml:space="preserve">1.2 Objetivos/Metas de Calidad (medibles)</w:t>
      </w:r>
    </w:p>
    <w:p>
      <w:pPr>
        <w:pStyle w:val="Compact"/>
        <w:numPr>
          <w:ilvl w:val="0"/>
          <w:numId w:val="1002"/>
        </w:numPr>
      </w:pPr>
      <w:r>
        <w:t xml:space="preserve">Auditabilidad y reproducibilidad (cálculo): re-ejecutar una liquidación histórica (mismo resultado, mismo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) en &lt; 2 min por caso (p95), con explicación de pasos clave para reclamos.</w:t>
      </w:r>
    </w:p>
    <w:p>
      <w:pPr>
        <w:pStyle w:val="Compact"/>
        <w:numPr>
          <w:ilvl w:val="0"/>
          <w:numId w:val="1002"/>
        </w:numPr>
      </w:pPr>
      <w:r>
        <w:t xml:space="preserve">Evidencia de pagos masivos: por batch y por línea registrar totales/hashes/inclusión o motivo; conciliación de confirmación bancaria en &lt; T horas (SLA operativo).</w:t>
      </w:r>
    </w:p>
    <w:p>
      <w:pPr>
        <w:pStyle w:val="Compact"/>
        <w:numPr>
          <w:ilvl w:val="0"/>
          <w:numId w:val="1002"/>
        </w:numPr>
      </w:pPr>
      <w:r>
        <w:t xml:space="preserve">Idempotencia operativa: 0 duplicaciones por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/mes en Banco/PREVIRED; reintentos seguros sin efectos adicionales.</w:t>
      </w:r>
    </w:p>
    <w:p>
      <w:pPr>
        <w:pStyle w:val="Compact"/>
        <w:numPr>
          <w:ilvl w:val="0"/>
          <w:numId w:val="1002"/>
        </w:numPr>
      </w:pPr>
      <w:r>
        <w:t xml:space="preserve">Mantenibilidad: publicar cambios de reglas (RDN) y directivas sin downtime, con pipeline E2E ≤ 15 min y cobertura mínima acordada.</w:t>
      </w:r>
    </w:p>
    <w:p>
      <w:pPr>
        <w:pStyle w:val="Compact"/>
        <w:numPr>
          <w:ilvl w:val="0"/>
          <w:numId w:val="1002"/>
        </w:numPr>
      </w:pPr>
      <w:r>
        <w:t xml:space="preserve">Disponibilidad: P99 de endpoints críticos &lt; Z ms y uptime ≥ 99.9% horario hábil.</w:t>
      </w:r>
    </w:p>
    <w:bookmarkEnd w:id="21"/>
    <w:bookmarkStart w:id="22" w:name="alcance-de-negocio-resumen"/>
    <w:p>
      <w:pPr>
        <w:pStyle w:val="Heading2"/>
      </w:pPr>
      <w:r>
        <w:t xml:space="preserve">1.3 Alcance de negocio (resumen)</w:t>
      </w:r>
    </w:p>
    <w:p>
      <w:pPr>
        <w:pStyle w:val="Compact"/>
        <w:numPr>
          <w:ilvl w:val="0"/>
          <w:numId w:val="1003"/>
        </w:numPr>
      </w:pPr>
      <w:r>
        <w:t xml:space="preserve">Ciclo de vida del beneficio: otorgamiento, mantenimiento, suspensiones/ceses, correcciones y reliquidaciones multi-marco.</w:t>
      </w:r>
    </w:p>
    <w:p>
      <w:pPr>
        <w:pStyle w:val="Compact"/>
        <w:numPr>
          <w:ilvl w:val="0"/>
          <w:numId w:val="1003"/>
        </w:numPr>
      </w:pPr>
      <w:r>
        <w:t xml:space="preserve">Motor de cálculo y liquidación con catálogo CCL y reglas RDN trazables al fundamento normativo.</w:t>
      </w:r>
    </w:p>
    <w:p>
      <w:pPr>
        <w:pStyle w:val="Compact"/>
        <w:numPr>
          <w:ilvl w:val="0"/>
          <w:numId w:val="1003"/>
        </w:numPr>
      </w:pPr>
      <w:r>
        <w:t xml:space="preserve">Gobernanza y excepciones (EXD/VERF) con intervención humana auditable.</w:t>
      </w:r>
    </w:p>
    <w:p>
      <w:pPr>
        <w:pStyle w:val="Compact"/>
        <w:numPr>
          <w:ilvl w:val="0"/>
          <w:numId w:val="1003"/>
        </w:numPr>
      </w:pPr>
      <w:r>
        <w:t xml:space="preserve">Integraciones con IPS, SUSESO/SIVEGAM, Bancos, PREVIRED, Registro Civil y SAP.</w:t>
      </w:r>
    </w:p>
    <w:bookmarkEnd w:id="22"/>
    <w:bookmarkStart w:id="23" w:name="X2da1b759ef76a3b489ca38e5b9067a18e345a9c"/>
    <w:p>
      <w:pPr>
        <w:pStyle w:val="Heading2"/>
      </w:pPr>
      <w:r>
        <w:t xml:space="preserve">1.5 Auditoría y trazabilidad (alcances y no-requisitos)</w:t>
      </w:r>
    </w:p>
    <w:p>
      <w:pPr>
        <w:pStyle w:val="Compact"/>
        <w:numPr>
          <w:ilvl w:val="0"/>
          <w:numId w:val="1004"/>
        </w:numPr>
      </w:pPr>
      <w:r>
        <w:t xml:space="preserve">Alcances (sí):</w:t>
      </w:r>
    </w:p>
    <w:p>
      <w:pPr>
        <w:pStyle w:val="Compact"/>
        <w:numPr>
          <w:ilvl w:val="1"/>
          <w:numId w:val="1005"/>
        </w:numPr>
      </w:pPr>
      <w:r>
        <w:t xml:space="preserve">Explicación de cálculo orientada a reclamos (pasos clave y reglas aplicadas; vínculo a</w:t>
      </w:r>
      <w:r>
        <w:t xml:space="preserve"> </w:t>
      </w:r>
      <w:r>
        <w:rPr>
          <w:rStyle w:val="VerbatimChar"/>
        </w:rPr>
        <w:t xml:space="preserve">LiquidacionDePago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Evidencias mínimas en pagos masivos (batch/ítem), ingestas y publicaciones: hashes, totales, confirmaciones, motivos de exclusión.</w:t>
      </w:r>
    </w:p>
    <w:p>
      <w:pPr>
        <w:pStyle w:val="Compact"/>
        <w:numPr>
          <w:ilvl w:val="1"/>
          <w:numId w:val="1005"/>
        </w:numPr>
      </w:pPr>
      <w:r>
        <w:t xml:space="preserve">Custodia WORM sencilla para archivos fuente (hash + sello de tiempo + proveedor; sin sobrescritura).</w:t>
      </w:r>
    </w:p>
    <w:p>
      <w:pPr>
        <w:pStyle w:val="Compact"/>
        <w:numPr>
          <w:ilvl w:val="1"/>
          <w:numId w:val="1005"/>
        </w:numPr>
      </w:pPr>
      <w:r>
        <w:t xml:space="preserve">Idempotencia “solo-una-vez” en archivos/batches/líneas para evitar duplicados.</w:t>
      </w:r>
    </w:p>
    <w:p>
      <w:pPr>
        <w:pStyle w:val="Compact"/>
        <w:numPr>
          <w:ilvl w:val="0"/>
          <w:numId w:val="1004"/>
        </w:numPr>
      </w:pPr>
      <w:r>
        <w:t xml:space="preserve">No-requisitos (fuera de alcance):</w:t>
      </w:r>
    </w:p>
    <w:p>
      <w:pPr>
        <w:pStyle w:val="Compact"/>
        <w:numPr>
          <w:ilvl w:val="1"/>
          <w:numId w:val="1006"/>
        </w:numPr>
      </w:pPr>
      <w:r>
        <w:t xml:space="preserve">Event store y replays deterministas del estado como fuente canónica.</w:t>
      </w:r>
    </w:p>
    <w:p>
      <w:pPr>
        <w:pStyle w:val="Compact"/>
        <w:numPr>
          <w:ilvl w:val="1"/>
          <w:numId w:val="1006"/>
        </w:numPr>
      </w:pPr>
      <w:r>
        <w:t xml:space="preserve">Snapshots normativos por línea dentro del archivo de pago (se referencia la</w:t>
      </w:r>
      <w:r>
        <w:t xml:space="preserve"> </w:t>
      </w:r>
      <w:r>
        <w:rPr>
          <w:rStyle w:val="VerbatimChar"/>
        </w:rPr>
        <w:t xml:space="preserve">LiquidacionDePago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t xml:space="preserve">Conservación de PII sensible en evidencias (se usan huellas/fingerprints cuando aplique).</w:t>
      </w:r>
    </w:p>
    <w:bookmarkEnd w:id="23"/>
    <w:bookmarkStart w:id="24" w:name="stakeholders"/>
    <w:p>
      <w:pPr>
        <w:pStyle w:val="Heading2"/>
      </w:pPr>
      <w:r>
        <w:t xml:space="preserve">1.4 Stakeholders</w:t>
      </w:r>
    </w:p>
    <w:p>
      <w:pPr>
        <w:pStyle w:val="Compact"/>
        <w:numPr>
          <w:ilvl w:val="0"/>
          <w:numId w:val="1007"/>
        </w:numPr>
      </w:pPr>
      <w:r>
        <w:t xml:space="preserve">Negocio/Operaciones: precisión, control de procesos y SLAs de ciclo de pago.</w:t>
      </w:r>
    </w:p>
    <w:p>
      <w:pPr>
        <w:pStyle w:val="Compact"/>
        <w:numPr>
          <w:ilvl w:val="0"/>
          <w:numId w:val="1007"/>
        </w:numPr>
      </w:pPr>
      <w:r>
        <w:t xml:space="preserve">Cumplimiento/Regulación: evidencia, reportería y reproducibilidad normativa.</w:t>
      </w:r>
    </w:p>
    <w:p>
      <w:pPr>
        <w:pStyle w:val="Compact"/>
        <w:numPr>
          <w:ilvl w:val="0"/>
          <w:numId w:val="1007"/>
        </w:numPr>
      </w:pPr>
      <w:r>
        <w:t xml:space="preserve">Finanzas/Contabilidad: conciliaciones y comprobantes confiables.</w:t>
      </w:r>
    </w:p>
    <w:p>
      <w:pPr>
        <w:pStyle w:val="Compact"/>
        <w:numPr>
          <w:ilvl w:val="0"/>
          <w:numId w:val="1007"/>
        </w:numPr>
      </w:pPr>
      <w:r>
        <w:t xml:space="preserve">TI/Integraciones: contratos estables, observabilidad, runbooks y seguridad.</w:t>
      </w:r>
    </w:p>
    <w:p>
      <w:pPr>
        <w:pStyle w:val="FirstParagraph"/>
      </w:pPr>
      <w:r>
        <w:t xml:space="preserve">Referencias:</w:t>
      </w:r>
      <w:r>
        <w:t xml:space="preserve"> </w:t>
      </w:r>
      <w:r>
        <w:rPr>
          <w:rStyle w:val="VerbatimChar"/>
        </w:rPr>
        <w:t xml:space="preserve">version_actual/MDLO_v1</w:t>
      </w:r>
      <w:r>
        <w:t xml:space="preserve"> </w:t>
      </w:r>
      <w:r>
        <w:t xml:space="preserve">(Anexos A–K) y arc42 overview: https://r.jina.ai/arc42.org/overview</w:t>
      </w:r>
      <w:r>
        <w:t xml:space="preserve"> </w:t>
      </w:r>
      <w:r>
        <w:t xml:space="preserve">- Evidencias y WORM:</w:t>
      </w:r>
      <w:r>
        <w:t xml:space="preserve"> </w:t>
      </w:r>
      <w:r>
        <w:rPr>
          <w:rStyle w:val="VerbatimChar"/>
        </w:rPr>
        <w:t xml:space="preserve">3_especificacion_tecnica/eventos-auditoria/02_evidencias_y_worm.md</w:t>
      </w:r>
      <w:r>
        <w:t xml:space="preserve"> </w:t>
      </w:r>
      <w:r>
        <w:t xml:space="preserve">- Idempotencia operativa:</w:t>
      </w:r>
      <w:r>
        <w:t xml:space="preserve"> </w:t>
      </w:r>
      <w:r>
        <w:rPr>
          <w:rStyle w:val="VerbatimChar"/>
        </w:rPr>
        <w:t xml:space="preserve">3_especificacion_tecnica/operacion/02_idempotencia.md</w:t>
      </w:r>
      <w:r>
        <w:t xml:space="preserve"> </w:t>
      </w:r>
      <w:r>
        <w:t xml:space="preserve">- Ingesta de archivos:</w:t>
      </w:r>
      <w:r>
        <w:t xml:space="preserve"> </w:t>
      </w:r>
      <w:r>
        <w:rPr>
          <w:rStyle w:val="VerbatimChar"/>
        </w:rPr>
        <w:t xml:space="preserve">3_especificacion_tecnica/integraciones/ingesta_archivos.md</w:t>
      </w:r>
    </w:p>
    <w:bookmarkEnd w:id="24"/>
    <w:bookmarkEnd w:id="25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2025-08-12T11:48:14Z</dcterms:created>
  <dcterms:modified xsi:type="dcterms:W3CDTF">2025-08-12T11:48:14Z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