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stricciones"/>
    <w:p>
      <w:pPr>
        <w:pStyle w:val="Heading1"/>
      </w:pPr>
      <w:r>
        <w:t xml:space="preserve">2. Restricciones</w:t>
      </w:r>
    </w:p>
    <w:bookmarkStart w:id="20" w:name="regulatorias"/>
    <w:p>
      <w:pPr>
        <w:pStyle w:val="Heading2"/>
      </w:pPr>
      <w:r>
        <w:t xml:space="preserve">2.1 Regulatorias</w:t>
      </w:r>
    </w:p>
    <w:p>
      <w:pPr>
        <w:pStyle w:val="Compact"/>
        <w:numPr>
          <w:ilvl w:val="0"/>
          <w:numId w:val="1001"/>
        </w:numPr>
      </w:pPr>
      <w:r>
        <w:t xml:space="preserve">SUSESO/IPS: reportería obligatoria, conservación de evidencia, inmutabilidad de artefactos (liquidaciones, comprobantes, resoluciones).</w:t>
      </w:r>
    </w:p>
    <w:p>
      <w:pPr>
        <w:pStyle w:val="Compact"/>
        <w:numPr>
          <w:ilvl w:val="0"/>
          <w:numId w:val="1001"/>
        </w:numPr>
      </w:pPr>
      <w:r>
        <w:t xml:space="preserve">Reproducibilidad normativa: cada cálculo debe estar asociado a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vigente a su fecha.</w:t>
      </w:r>
    </w:p>
    <w:p>
      <w:pPr>
        <w:pStyle w:val="Compact"/>
        <w:numPr>
          <w:ilvl w:val="0"/>
          <w:numId w:val="1001"/>
        </w:numPr>
      </w:pPr>
      <w:r>
        <w:t xml:space="preserve">Auditoría: registro de decisiones, correlación CRUD↔eventos, y evidencias consultables.</w:t>
      </w:r>
    </w:p>
    <w:bookmarkEnd w:id="20"/>
    <w:bookmarkStart w:id="21" w:name="técnicas"/>
    <w:p>
      <w:pPr>
        <w:pStyle w:val="Heading2"/>
      </w:pPr>
      <w:r>
        <w:t xml:space="preserve">2.2 Técnicas</w:t>
      </w:r>
    </w:p>
    <w:p>
      <w:pPr>
        <w:pStyle w:val="Compact"/>
        <w:numPr>
          <w:ilvl w:val="0"/>
          <w:numId w:val="1002"/>
        </w:numPr>
      </w:pPr>
      <w:r>
        <w:t xml:space="preserve">Stack: TypeScript, AdonisJS 6, Lucid ORM, DB relacional.</w:t>
      </w:r>
    </w:p>
    <w:p>
      <w:pPr>
        <w:pStyle w:val="Compact"/>
        <w:numPr>
          <w:ilvl w:val="0"/>
          <w:numId w:val="1002"/>
        </w:numPr>
      </w:pPr>
      <w:r>
        <w:t xml:space="preserve">Estándares: versionado SemVer para</w:t>
      </w:r>
      <w:r>
        <w:t xml:space="preserve"> </w:t>
      </w:r>
      <w:r>
        <w:rPr>
          <w:rStyle w:val="VerbatimChar"/>
        </w:rPr>
        <w:t xml:space="preserve">ParametrosNormativos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DirectivaDeEjecucion</w:t>
      </w:r>
      <w:r>
        <w:t xml:space="preserve">; ADRs para decisiones.</w:t>
      </w:r>
    </w:p>
    <w:p>
      <w:pPr>
        <w:pStyle w:val="Compact"/>
        <w:numPr>
          <w:ilvl w:val="0"/>
          <w:numId w:val="1002"/>
        </w:numPr>
      </w:pPr>
      <w:r>
        <w:t xml:space="preserve">Entrega de eventos: outbox con idempotencia y</w:t>
      </w:r>
      <w:r>
        <w:t xml:space="preserve"> </w:t>
      </w:r>
      <w:r>
        <w:rPr>
          <w:rStyle w:val="VerbatimChar"/>
        </w:rPr>
        <w:t xml:space="preserve">correlation_id/causation_id</w:t>
      </w:r>
      <w:r>
        <w:t xml:space="preserve">.</w:t>
      </w:r>
    </w:p>
    <w:bookmarkEnd w:id="21"/>
    <w:bookmarkStart w:id="22" w:name="organizativasprocesos"/>
    <w:p>
      <w:pPr>
        <w:pStyle w:val="Heading2"/>
      </w:pPr>
      <w:r>
        <w:t xml:space="preserve">2.3 Organizativas/Procesos</w:t>
      </w:r>
    </w:p>
    <w:p>
      <w:pPr>
        <w:pStyle w:val="Compact"/>
        <w:numPr>
          <w:ilvl w:val="0"/>
          <w:numId w:val="1003"/>
        </w:numPr>
      </w:pPr>
      <w:r>
        <w:t xml:space="preserve">Ventanas operativas acotadas para jobs masivos (pago, reportería, reliquidaciones).</w:t>
      </w:r>
    </w:p>
    <w:p>
      <w:pPr>
        <w:pStyle w:val="Compact"/>
        <w:numPr>
          <w:ilvl w:val="0"/>
          <w:numId w:val="1003"/>
        </w:numPr>
      </w:pPr>
      <w:r>
        <w:t xml:space="preserve">Controles VERF para acciones sensibles (restauraciones, publicación de marcos, correcciones).</w:t>
      </w:r>
    </w:p>
    <w:p>
      <w:pPr>
        <w:pStyle w:val="Compact"/>
        <w:numPr>
          <w:ilvl w:val="0"/>
          <w:numId w:val="1003"/>
        </w:numPr>
      </w:pPr>
      <w:r>
        <w:t xml:space="preserve">Ciclos de aprobación de cambios normativos con evidencia de pruebas y plan de rollback.</w:t>
      </w:r>
    </w:p>
    <w:bookmarkEnd w:id="22"/>
    <w:bookmarkStart w:id="23" w:name="datosprivacidad"/>
    <w:p>
      <w:pPr>
        <w:pStyle w:val="Heading2"/>
      </w:pPr>
      <w:r>
        <w:t xml:space="preserve">2.4 Datos/Privacidad</w:t>
      </w:r>
    </w:p>
    <w:p>
      <w:pPr>
        <w:pStyle w:val="Compact"/>
        <w:numPr>
          <w:ilvl w:val="0"/>
          <w:numId w:val="1004"/>
        </w:numPr>
      </w:pPr>
      <w:r>
        <w:t xml:space="preserve">PII: minimización, cifrado en reposo y tránsito; retención por tabla y scrubbing en eventos.</w:t>
      </w:r>
    </w:p>
    <w:p>
      <w:pPr>
        <w:pStyle w:val="Compact"/>
        <w:numPr>
          <w:ilvl w:val="0"/>
          <w:numId w:val="1004"/>
        </w:numPr>
      </w:pPr>
      <w:r>
        <w:t xml:space="preserve">Inmutabilidad: no borrar evidencia regulatoria; correcciones por adición (append-only donde aplique).</w:t>
      </w:r>
    </w:p>
    <w:p>
      <w:pPr>
        <w:pStyle w:val="FirstParagraph"/>
      </w:pPr>
      <w:r>
        <w:t xml:space="preserve">Ver políticas en</w:t>
      </w:r>
      <w:r>
        <w:t xml:space="preserve"> </w:t>
      </w:r>
      <w:r>
        <w:rPr>
          <w:rStyle w:val="VerbatimChar"/>
        </w:rPr>
        <w:t xml:space="preserve">3_especificacion_tecnica/seguridad/</w:t>
      </w:r>
      <w:r>
        <w:t xml:space="preserve"> </w:t>
      </w:r>
      <w:r>
        <w:t xml:space="preserve">y persistencia en</w:t>
      </w:r>
      <w:r>
        <w:t xml:space="preserve"> </w:t>
      </w:r>
      <w:r>
        <w:rPr>
          <w:rStyle w:val="VerbatimChar"/>
        </w:rPr>
        <w:t xml:space="preserve">3_especificacion_tecnica/datos/</w:t>
      </w:r>
      <w:r>
        <w:t xml:space="preserve">.</w:t>
      </w:r>
    </w:p>
    <w:bookmarkEnd w:id="23"/>
    <w:bookmarkEnd w:id="24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2025-08-12T11:48:14Z</dcterms:created>
  <dcterms:modified xsi:type="dcterms:W3CDTF">2025-08-12T11:48:14Z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