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ntexto-y-alcance-c4"/>
    <w:p>
      <w:pPr>
        <w:pStyle w:val="Heading1"/>
      </w:pPr>
      <w:r>
        <w:t xml:space="preserve">3. Contexto y Alcance (C4)</w:t>
      </w:r>
    </w:p>
    <w:bookmarkStart w:id="20" w:name="contexto-nivel-1"/>
    <w:p>
      <w:pPr>
        <w:pStyle w:val="Heading2"/>
      </w:pPr>
      <w:r>
        <w:t xml:space="preserve">3.1 Contexto (Nivel 1)</w:t>
      </w:r>
    </w:p>
    <w:p>
      <w:pPr>
        <w:pStyle w:val="Compact"/>
        <w:numPr>
          <w:ilvl w:val="0"/>
          <w:numId w:val="1001"/>
        </w:numPr>
      </w:pPr>
      <w:r>
        <w:t xml:space="preserve">PEC interactúa con organismos externos (IPS, SUSESO/SIVEGAM, Registro Civil, PREVIRED, Bancos, SAP) y usuarios internos (Operaciones, Cumplimiento, Finanzas, TI).</w:t>
      </w:r>
    </w:p>
    <w:bookmarkEnd w:id="20"/>
    <w:bookmarkStart w:id="21" w:name="alcance-del-sistema"/>
    <w:p>
      <w:pPr>
        <w:pStyle w:val="Heading2"/>
      </w:pPr>
      <w:r>
        <w:t xml:space="preserve">3.2 Alcance del sistema</w:t>
      </w:r>
    </w:p>
    <w:p>
      <w:pPr>
        <w:pStyle w:val="Compact"/>
        <w:numPr>
          <w:ilvl w:val="0"/>
          <w:numId w:val="1002"/>
        </w:numPr>
      </w:pPr>
      <w:r>
        <w:t xml:space="preserve">Incluye: ciclo de vida de prestaciones, motor de cálculo y liquidación, acuerdos de pago, reportería regulatoria, gobierno de marcos, excepciones (EXD) y verificación humana (VERF).</w:t>
      </w:r>
    </w:p>
    <w:p>
      <w:pPr>
        <w:pStyle w:val="Compact"/>
        <w:numPr>
          <w:ilvl w:val="0"/>
          <w:numId w:val="1002"/>
        </w:numPr>
      </w:pPr>
      <w:r>
        <w:t xml:space="preserve">Excluye: front-office público, contabilidad corporativa (más allá de comprobantes exportados), núcleo bancario.</w:t>
      </w:r>
    </w:p>
    <w:bookmarkEnd w:id="21"/>
    <w:bookmarkStart w:id="22" w:name="contenedores-nivel-2"/>
    <w:p>
      <w:pPr>
        <w:pStyle w:val="Heading2"/>
      </w:pPr>
      <w:r>
        <w:t xml:space="preserve">3.3 Contenedores (Nivel 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Portal de Analistas (Front-end):</w:t>
      </w:r>
      <w:r>
        <w:t xml:space="preserve"> </w:t>
      </w:r>
      <w:r>
        <w:t xml:space="preserve">Una aplicación web monolítica moderna (AdonisJS + Inertia.js + React) que provee la interfaz para los usuarios internos.</w:t>
      </w:r>
    </w:p>
    <w:p>
      <w:pPr>
        <w:pStyle w:val="Compact"/>
        <w:numPr>
          <w:ilvl w:val="0"/>
          <w:numId w:val="1003"/>
        </w:numPr>
      </w:pPr>
      <w:r>
        <w:t xml:space="preserve">API AdonisJS + workers de jobs (pago, reportería, sincronizaciones).</w:t>
      </w:r>
    </w:p>
    <w:p>
      <w:pPr>
        <w:pStyle w:val="Compact"/>
        <w:numPr>
          <w:ilvl w:val="0"/>
          <w:numId w:val="1003"/>
        </w:numPr>
      </w:pPr>
      <w:r>
        <w:t xml:space="preserve">DB relacional con tablas de dominio, outbox y proyecciones para lectura/operación.</w:t>
      </w:r>
    </w:p>
    <w:p>
      <w:pPr>
        <w:pStyle w:val="Compact"/>
        <w:numPr>
          <w:ilvl w:val="0"/>
          <w:numId w:val="1003"/>
        </w:numPr>
      </w:pPr>
      <w:r>
        <w:t xml:space="preserve">Integraciones (SFTP/HTTP/colas) y almacenamiento de evidencias/documentos.</w:t>
      </w:r>
    </w:p>
    <w:bookmarkEnd w:id="22"/>
    <w:bookmarkStart w:id="23" w:name="interfaces-externas"/>
    <w:p>
      <w:pPr>
        <w:pStyle w:val="Heading2"/>
      </w:pPr>
      <w:r>
        <w:t xml:space="preserve">3.4 Interfaces externas</w:t>
      </w:r>
    </w:p>
    <w:p>
      <w:pPr>
        <w:pStyle w:val="Compact"/>
        <w:numPr>
          <w:ilvl w:val="0"/>
          <w:numId w:val="1004"/>
        </w:numPr>
      </w:pPr>
      <w:r>
        <w:t xml:space="preserve">Ver catálogo en</w:t>
      </w:r>
      <w:r>
        <w:t xml:space="preserve"> </w:t>
      </w:r>
      <w:r>
        <w:rPr>
          <w:rStyle w:val="VerbatimChar"/>
        </w:rPr>
        <w:t xml:space="preserve">1_dominio/07_Interfaces_Externas.md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3_especificacion_tecnica/integraciones/</w:t>
      </w:r>
      <w:r>
        <w:t xml:space="preserve">.</w:t>
      </w:r>
    </w:p>
    <w:p>
      <w:pPr>
        <w:pStyle w:val="FirstParagraph"/>
      </w:pPr>
      <w:r>
        <w:t xml:space="preserve">Nota: Diagramas C4 se incorporarán en siguientes iteraciones.</w:t>
      </w:r>
    </w:p>
    <w:bookmarkEnd w:id="23"/>
    <w:bookmarkEnd w:id="24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2025-08-12T11:48:14Z</dcterms:created>
  <dcterms:modified xsi:type="dcterms:W3CDTF">2025-08-12T11:48:14Z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