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strategia-de-solución"/>
    <w:p>
      <w:pPr>
        <w:pStyle w:val="Heading1"/>
      </w:pPr>
      <w:r>
        <w:t xml:space="preserve">4. Estrategia de Solución</w:t>
      </w:r>
    </w:p>
    <w:p>
      <w:pPr>
        <w:pStyle w:val="FirstParagraph"/>
      </w:pPr>
      <w:r>
        <w:t xml:space="preserve">Resumen de decisiones y enfoques que dan forma a la arquitectura (tecnología, descomposición, tácticas de calidad y decisiones organizativas), conforme a arc42.</w:t>
      </w:r>
    </w:p>
    <w:p>
      <w:pPr>
        <w:pStyle w:val="Compact"/>
        <w:numPr>
          <w:ilvl w:val="0"/>
          <w:numId w:val="1001"/>
        </w:numPr>
      </w:pPr>
      <w:r>
        <w:t xml:space="preserve">Tecnología base: TypeScript + AdonisJS 6, Lucid ORM, DB relacional.</w:t>
      </w:r>
    </w:p>
    <w:p>
      <w:pPr>
        <w:pStyle w:val="Compact"/>
        <w:numPr>
          <w:ilvl w:val="0"/>
          <w:numId w:val="1001"/>
        </w:numPr>
      </w:pPr>
      <w:r>
        <w:t xml:space="preserve">Decisión principal (ADR-002): CRUD como system-of-record + outbox/idempotencia para DomainEvents + auditoría técnica (AppAudit) o CDC. Sin replays deterministas.</w:t>
      </w:r>
    </w:p>
    <w:p>
      <w:pPr>
        <w:pStyle w:val="Compact"/>
        <w:numPr>
          <w:ilvl w:val="0"/>
          <w:numId w:val="1001"/>
        </w:numPr>
      </w:pPr>
      <w:r>
        <w:t xml:space="preserve">Tácticas de calidad: referencia al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en registros/eventos; materialized views; validaciones contractuales de eventos; matrices de versión para marcos/directivas.</w:t>
      </w:r>
    </w:p>
    <w:p>
      <w:pPr>
        <w:pStyle w:val="Compact"/>
        <w:numPr>
          <w:ilvl w:val="0"/>
          <w:numId w:val="1001"/>
        </w:numPr>
      </w:pPr>
      <w:r>
        <w:t xml:space="preserve">Descomposición: datos/eventos, integraciones, seguridad, operación.</w:t>
      </w:r>
    </w:p>
    <w:p>
      <w:pPr>
        <w:pStyle w:val="Compact"/>
        <w:numPr>
          <w:ilvl w:val="0"/>
          <w:numId w:val="1001"/>
        </w:numPr>
      </w:pPr>
      <w:r>
        <w:t xml:space="preserve">Organización: ADRs para decisiones clave; especificación modular por vistas y vínculo a MDLO v1.</w:t>
      </w:r>
    </w:p>
    <w:bookmarkStart w:id="20" w:name="trade-offs-y-alternativas"/>
    <w:p>
      <w:pPr>
        <w:pStyle w:val="Heading2"/>
      </w:pPr>
      <w:r>
        <w:t xml:space="preserve">4.1 Trade-offs y alternativas</w:t>
      </w:r>
    </w:p>
    <w:p>
      <w:pPr>
        <w:pStyle w:val="Compact"/>
        <w:numPr>
          <w:ilvl w:val="0"/>
          <w:numId w:val="1002"/>
        </w:numPr>
      </w:pPr>
      <w:r>
        <w:t xml:space="preserve">CRUD + DomainEvents + AppAudit/CDC (elegida)</w:t>
      </w:r>
    </w:p>
    <w:p>
      <w:pPr>
        <w:pStyle w:val="Compact"/>
        <w:numPr>
          <w:ilvl w:val="1"/>
          <w:numId w:val="1003"/>
        </w:numPr>
      </w:pPr>
      <w:r>
        <w:t xml:space="preserve">Beneficios: simplicidad operativa; auditabilidad clara; integración por eventos.</w:t>
      </w:r>
    </w:p>
    <w:p>
      <w:pPr>
        <w:pStyle w:val="Compact"/>
        <w:numPr>
          <w:ilvl w:val="1"/>
          <w:numId w:val="1003"/>
        </w:numPr>
      </w:pPr>
      <w:r>
        <w:t xml:space="preserve">Riesgos: orden/correlación CRUD↔eventos; gobierno de esquemas.</w:t>
      </w:r>
    </w:p>
    <w:p>
      <w:pPr>
        <w:pStyle w:val="Compact"/>
        <w:numPr>
          <w:ilvl w:val="1"/>
          <w:numId w:val="1003"/>
        </w:numPr>
      </w:pPr>
      <w:r>
        <w:t xml:space="preserve">Mitigaciones: outbox, claves de idempotencia,</w:t>
      </w:r>
      <w:r>
        <w:t xml:space="preserve"> </w:t>
      </w:r>
      <w:r>
        <w:rPr>
          <w:rStyle w:val="VerbatimChar"/>
        </w:rPr>
        <w:t xml:space="preserve">correlation_id/causation_id</w:t>
      </w:r>
      <w:r>
        <w:t xml:space="preserve">, validación de contratos.</w:t>
      </w:r>
    </w:p>
    <w:p>
      <w:pPr>
        <w:pStyle w:val="Compact"/>
        <w:numPr>
          <w:ilvl w:val="0"/>
          <w:numId w:val="1002"/>
        </w:numPr>
      </w:pPr>
      <w:r>
        <w:t xml:space="preserve">ES + proyecciones (alternativa)</w:t>
      </w:r>
    </w:p>
    <w:p>
      <w:pPr>
        <w:pStyle w:val="Compact"/>
        <w:numPr>
          <w:ilvl w:val="1"/>
          <w:numId w:val="1004"/>
        </w:numPr>
      </w:pPr>
      <w:r>
        <w:t xml:space="preserve">Requisitos: replays deterministas, auditoría como fuente canónica.</w:t>
      </w:r>
    </w:p>
    <w:p>
      <w:pPr>
        <w:pStyle w:val="Compact"/>
        <w:numPr>
          <w:ilvl w:val="1"/>
          <w:numId w:val="1004"/>
        </w:numPr>
      </w:pPr>
      <w:r>
        <w:t xml:space="preserve">Beneficios: historia/intención completas; simulaciones; reliquidaciones por tramo.</w:t>
      </w:r>
    </w:p>
    <w:p>
      <w:pPr>
        <w:pStyle w:val="Compact"/>
        <w:numPr>
          <w:ilvl w:val="1"/>
          <w:numId w:val="1004"/>
        </w:numPr>
      </w:pPr>
      <w:r>
        <w:t xml:space="preserve">Costos: complejidad operativa y almacenamiento.</w:t>
      </w:r>
    </w:p>
    <w:p>
      <w:pPr>
        <w:pStyle w:val="Compact"/>
        <w:numPr>
          <w:ilvl w:val="0"/>
          <w:numId w:val="1002"/>
        </w:numPr>
      </w:pPr>
      <w:r>
        <w:t xml:space="preserve">CDC/bitemporalidad (alternativa)</w:t>
      </w:r>
    </w:p>
    <w:p>
      <w:pPr>
        <w:pStyle w:val="Compact"/>
        <w:numPr>
          <w:ilvl w:val="1"/>
          <w:numId w:val="1005"/>
        </w:numPr>
      </w:pPr>
      <w:r>
        <w:t xml:space="preserve">Beneficios: historia de cambios sin tocar app.</w:t>
      </w:r>
    </w:p>
    <w:p>
      <w:pPr>
        <w:pStyle w:val="Compact"/>
        <w:numPr>
          <w:ilvl w:val="1"/>
          <w:numId w:val="1005"/>
        </w:numPr>
      </w:pPr>
      <w:r>
        <w:t xml:space="preserve">Costos: captura “qué” más que “por qué”; replays de lógica no exactos.</w:t>
      </w:r>
    </w:p>
    <w:bookmarkEnd w:id="20"/>
    <w:bookmarkStart w:id="21" w:name="decisiones-registradas"/>
    <w:p>
      <w:pPr>
        <w:pStyle w:val="Heading2"/>
      </w:pPr>
      <w:r>
        <w:t xml:space="preserve">4.2 Decisiones registradas</w:t>
      </w:r>
    </w:p>
    <w:p>
      <w:pPr>
        <w:pStyle w:val="Compact"/>
        <w:numPr>
          <w:ilvl w:val="0"/>
          <w:numId w:val="1006"/>
        </w:numPr>
      </w:pPr>
      <w:r>
        <w:t xml:space="preserve">ADRs: ver</w:t>
      </w:r>
      <w:r>
        <w:t xml:space="preserve"> </w:t>
      </w:r>
      <w:r>
        <w:rPr>
          <w:rStyle w:val="VerbatimChar"/>
        </w:rPr>
        <w:t xml:space="preserve">2_arquitectura/09_decisiones_arquitectonicas.md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2_arquitectura/adrs/adr_*.md</w:t>
      </w:r>
      <w:r>
        <w:t xml:space="preserve">.</w:t>
      </w:r>
    </w:p>
    <w:p>
      <w:pPr>
        <w:pStyle w:val="FirstParagraph"/>
      </w:pPr>
      <w:r>
        <w:t xml:space="preserve">Referencia: https://r.jina.ai/arc42.org/overview</w:t>
      </w:r>
    </w:p>
    <w:bookmarkEnd w:id="21"/>
    <w:bookmarkStart w:id="22" w:name="criterios-de-activación-escdc-por-módulo"/>
    <w:p>
      <w:pPr>
        <w:pStyle w:val="Heading2"/>
      </w:pPr>
      <w:r>
        <w:t xml:space="preserve">4.3 Criterios de activación ES/CDC por módulo</w:t>
      </w:r>
    </w:p>
    <w:p>
      <w:pPr>
        <w:numPr>
          <w:ilvl w:val="0"/>
          <w:numId w:val="1007"/>
        </w:numPr>
      </w:pPr>
      <w:r>
        <w:t xml:space="preserve">Baseline: CRUD como system-of-record + DomainEvents vía outbox + AppAudit/CDC técnico. Sólo activar alternativas si los criterios y el puntaje lo justifican.</w:t>
      </w:r>
    </w:p>
    <w:p>
      <w:pPr>
        <w:numPr>
          <w:ilvl w:val="0"/>
          <w:numId w:val="1007"/>
        </w:numPr>
      </w:pPr>
      <w:r>
        <w:t xml:space="preserve">Checklist (Sí/No):</w:t>
      </w:r>
    </w:p>
    <w:p>
      <w:pPr>
        <w:pStyle w:val="Compact"/>
        <w:numPr>
          <w:ilvl w:val="1"/>
          <w:numId w:val="1008"/>
        </w:numPr>
      </w:pPr>
      <w:r>
        <w:t xml:space="preserve">¿Se requiere replay determinista de la lógica (simulaciones exactas, auditoría de intención)?</w:t>
      </w:r>
    </w:p>
    <w:p>
      <w:pPr>
        <w:pStyle w:val="Compact"/>
        <w:numPr>
          <w:ilvl w:val="1"/>
          <w:numId w:val="1008"/>
        </w:numPr>
      </w:pPr>
      <w:r>
        <w:t xml:space="preserve">¿Se requieren consultas bitemporales operativas (time-travel) más allá de auditoría?</w:t>
      </w:r>
    </w:p>
    <w:p>
      <w:pPr>
        <w:pStyle w:val="Compact"/>
        <w:numPr>
          <w:ilvl w:val="1"/>
          <w:numId w:val="1008"/>
        </w:numPr>
      </w:pPr>
      <w:r>
        <w:t xml:space="preserve">¿Predomina auditoría de intención (por qué) sobre auditoría de dato (qué cambió)?</w:t>
      </w:r>
    </w:p>
    <w:p>
      <w:pPr>
        <w:pStyle w:val="Compact"/>
        <w:numPr>
          <w:ilvl w:val="1"/>
          <w:numId w:val="1008"/>
        </w:numPr>
      </w:pPr>
      <w:r>
        <w:t xml:space="preserve">¿Volumen de eventos muy alto (≥5M/día) y retenciones prolongadas en bus?</w:t>
      </w:r>
    </w:p>
    <w:p>
      <w:pPr>
        <w:pStyle w:val="Compact"/>
        <w:numPr>
          <w:ilvl w:val="1"/>
          <w:numId w:val="1008"/>
        </w:numPr>
      </w:pPr>
      <w:r>
        <w:t xml:space="preserve">¿Latencia estricta en camino crítico (&lt;50 ms) de lectura/escritura?</w:t>
      </w:r>
    </w:p>
    <w:p>
      <w:pPr>
        <w:pStyle w:val="Compact"/>
        <w:numPr>
          <w:ilvl w:val="1"/>
          <w:numId w:val="1008"/>
        </w:numPr>
      </w:pPr>
      <w:r>
        <w:t xml:space="preserve">¿Necesidad de feeds incrementales a DWH/lake sin tocar la app?</w:t>
      </w:r>
    </w:p>
    <w:p>
      <w:pPr>
        <w:pStyle w:val="Compact"/>
        <w:numPr>
          <w:ilvl w:val="1"/>
          <w:numId w:val="1008"/>
        </w:numPr>
      </w:pPr>
      <w:r>
        <w:t xml:space="preserve">¿Capacidad operativa del equipo para operar brokers/connectors/ES?</w:t>
      </w:r>
    </w:p>
    <w:p>
      <w:pPr>
        <w:numPr>
          <w:ilvl w:val="0"/>
          <w:numId w:val="1007"/>
        </w:numPr>
      </w:pPr>
      <w:r>
        <w:t xml:space="preserve">Matriz de puntuación (0–2 por criterio, síntesis):</w:t>
      </w:r>
    </w:p>
    <w:p>
      <w:pPr>
        <w:pStyle w:val="Compact"/>
        <w:numPr>
          <w:ilvl w:val="1"/>
          <w:numId w:val="1009"/>
        </w:numPr>
      </w:pPr>
      <w:r>
        <w:t xml:space="preserve">ES: +2 si se requiere replay determinista; +2 si predomina intención; +1 si b/temporalidad; −1 si latencia &lt;50 ms es crítica.</w:t>
      </w:r>
    </w:p>
    <w:p>
      <w:pPr>
        <w:pStyle w:val="Compact"/>
        <w:numPr>
          <w:ilvl w:val="1"/>
          <w:numId w:val="1009"/>
        </w:numPr>
      </w:pPr>
      <w:r>
        <w:t xml:space="preserve">CDC: +2 si se requiere feed incremental/bitemporalidad; +1 si volumen muy alto; −1 si latencia &lt;50 ms es crítica.</w:t>
      </w:r>
    </w:p>
    <w:p>
      <w:pPr>
        <w:pStyle w:val="Compact"/>
        <w:numPr>
          <w:ilvl w:val="1"/>
          <w:numId w:val="1009"/>
        </w:numPr>
      </w:pPr>
      <w:r>
        <w:t xml:space="preserve">Baseline: +2 si latencia &lt;50 ms es crítica; +2 si tolerancia operativa baja.</w:t>
      </w:r>
    </w:p>
    <w:p>
      <w:pPr>
        <w:numPr>
          <w:ilvl w:val="0"/>
          <w:numId w:val="1007"/>
        </w:numPr>
      </w:pPr>
      <w:r>
        <w:t xml:space="preserve">Regla de activación:</w:t>
      </w:r>
    </w:p>
    <w:p>
      <w:pPr>
        <w:pStyle w:val="Compact"/>
        <w:numPr>
          <w:ilvl w:val="1"/>
          <w:numId w:val="1010"/>
        </w:numPr>
      </w:pPr>
      <w:r>
        <w:t xml:space="preserve">Elegir ES si su puntaje ≥6 y supera claramente a Baseline/CDC.</w:t>
      </w:r>
    </w:p>
    <w:p>
      <w:pPr>
        <w:pStyle w:val="Compact"/>
        <w:numPr>
          <w:ilvl w:val="1"/>
          <w:numId w:val="1010"/>
        </w:numPr>
      </w:pPr>
      <w:r>
        <w:t xml:space="preserve">Elegir CDC si su puntaje ≥6 y no se requieren replays de lógica.</w:t>
      </w:r>
    </w:p>
    <w:p>
      <w:pPr>
        <w:pStyle w:val="Compact"/>
        <w:numPr>
          <w:ilvl w:val="1"/>
          <w:numId w:val="1010"/>
        </w:numPr>
      </w:pPr>
      <w:r>
        <w:t xml:space="preserve">Mantener Baseline cuando ninguna alternativa supera el umbral o cuando latencia/simplicidad penalizan alternativas.</w:t>
      </w:r>
    </w:p>
    <w:p>
      <w:pPr>
        <w:numPr>
          <w:ilvl w:val="0"/>
          <w:numId w:val="1007"/>
        </w:numPr>
      </w:pPr>
      <w:r>
        <w:t xml:space="preserve">Procedimiento por módulo:</w:t>
      </w:r>
    </w:p>
    <w:p>
      <w:pPr>
        <w:pStyle w:val="Compact"/>
        <w:numPr>
          <w:ilvl w:val="1"/>
          <w:numId w:val="1011"/>
        </w:numPr>
      </w:pPr>
      <w:r>
        <w:t xml:space="preserve">Completar checklist y tabla de puntaje con evidencias (volúmenes, SLO/SLI).</w:t>
      </w:r>
    </w:p>
    <w:p>
      <w:pPr>
        <w:pStyle w:val="Compact"/>
        <w:numPr>
          <w:ilvl w:val="1"/>
          <w:numId w:val="1011"/>
        </w:numPr>
      </w:pPr>
      <w:r>
        <w:t xml:space="preserve">Registrar ADR del módulo con decisión, pros/contras, SLO/SLI y runbooks.</w:t>
      </w:r>
    </w:p>
    <w:p>
      <w:pPr>
        <w:pStyle w:val="Compact"/>
        <w:numPr>
          <w:ilvl w:val="1"/>
          <w:numId w:val="1011"/>
        </w:numPr>
      </w:pPr>
      <w:r>
        <w:t xml:space="preserve">Ejecutar PoC (1–2 semanas) y medir p95/p99, lag, duplicados, costo operativo.</w:t>
      </w:r>
    </w:p>
    <w:p>
      <w:pPr>
        <w:pStyle w:val="Compact"/>
        <w:numPr>
          <w:ilvl w:val="1"/>
          <w:numId w:val="1011"/>
        </w:numPr>
      </w:pPr>
      <w:r>
        <w:t xml:space="preserve">Criterio de salida: si la PoC no cumple SLO/SLI, revertir a Baseline.</w:t>
      </w:r>
    </w:p>
    <w:p>
      <w:pPr>
        <w:pStyle w:val="Compact"/>
        <w:numPr>
          <w:ilvl w:val="1"/>
          <w:numId w:val="1011"/>
        </w:numPr>
      </w:pPr>
      <w:r>
        <w:t xml:space="preserve">Observabilidad: dashboards de lag/throughput/duplicados/errores; alarmas.</w:t>
      </w:r>
    </w:p>
    <w:p>
      <w:pPr>
        <w:pStyle w:val="Compact"/>
        <w:numPr>
          <w:ilvl w:val="1"/>
          <w:numId w:val="1011"/>
        </w:numPr>
      </w:pPr>
      <w:r>
        <w:t xml:space="preserve">Rollout/rollback: plan de migración de lecturas/proyecciones y reversibilidad.</w:t>
      </w:r>
    </w:p>
    <w:p>
      <w:pPr>
        <w:pStyle w:val="FirstParagraph"/>
      </w:pPr>
      <w:r>
        <w:t xml:space="preserve">Referencias: ADR-002 (baseline), ADR-014 (criterios ES/CDC), ADR-015 (CDC para reportería).</w:t>
      </w:r>
    </w:p>
    <w:bookmarkEnd w:id="22"/>
    <w:bookmarkStart w:id="23" w:name="aplicación-inicial-en-pec-guía"/>
    <w:p>
      <w:pPr>
        <w:pStyle w:val="Heading2"/>
      </w:pPr>
      <w:r>
        <w:t xml:space="preserve">4.4 Aplicación inicial en PEC (guía)</w:t>
      </w:r>
    </w:p>
    <w:p>
      <w:pPr>
        <w:pStyle w:val="Compact"/>
        <w:numPr>
          <w:ilvl w:val="0"/>
          <w:numId w:val="1012"/>
        </w:numPr>
      </w:pPr>
      <w:r>
        <w:t xml:space="preserve">Pago masivo (PAG): Baseline. ES penaliza latencia/operación; CDC opcional sólo para reportería (fuera del camino crítico).</w:t>
      </w:r>
    </w:p>
    <w:p>
      <w:pPr>
        <w:pStyle w:val="Compact"/>
        <w:numPr>
          <w:ilvl w:val="0"/>
          <w:numId w:val="1012"/>
        </w:numPr>
      </w:pPr>
      <w:r>
        <w:t xml:space="preserve">Reportería (REP): CDC aceptado para feeds incrementales hacia almacenes de lectura/analítica; SoR permanece en CRUD.</w:t>
      </w:r>
    </w:p>
    <w:p>
      <w:pPr>
        <w:pStyle w:val="Compact"/>
        <w:numPr>
          <w:ilvl w:val="0"/>
          <w:numId w:val="1012"/>
        </w:numPr>
      </w:pPr>
      <w:r>
        <w:t xml:space="preserve">Otorgamiento (OTG) y Mantenimiento (MANT): Baseline. ES sólo si se exige simulación de intención con replays verificables (no requerido hoy).</w:t>
      </w:r>
    </w:p>
    <w:p>
      <w:pPr>
        <w:pStyle w:val="Compact"/>
        <w:numPr>
          <w:ilvl w:val="0"/>
          <w:numId w:val="1012"/>
        </w:numPr>
      </w:pPr>
      <w:r>
        <w:t xml:space="preserve">Integraciones (Bancos/PREVIRED): Baseline + Outbox. CDC no aplica en el camino crítico de publicación/conciliación.</w:t>
      </w:r>
    </w:p>
    <w:p>
      <w:pPr>
        <w:pStyle w:val="Compact"/>
        <w:numPr>
          <w:ilvl w:val="0"/>
          <w:numId w:val="1012"/>
        </w:numPr>
      </w:pPr>
      <w:r>
        <w:t xml:space="preserve">Analítica histórica/bitemporal: CDC dedicado y aislado del SoR.</w:t>
      </w:r>
    </w:p>
    <w:p>
      <w:pPr>
        <w:pStyle w:val="FirstParagraph"/>
      </w:pPr>
      <w:r>
        <w:t xml:space="preserve">Notas:</w:t>
      </w:r>
      <w:r>
        <w:t xml:space="preserve"> </w:t>
      </w:r>
      <w:r>
        <w:t xml:space="preserve">- SLO/SLI específicos de lag/throughput/latencia se catalogarán en</w:t>
      </w:r>
      <w:r>
        <w:t xml:space="preserve"> </w:t>
      </w:r>
      <w:r>
        <w:rPr>
          <w:rStyle w:val="VerbatimChar"/>
        </w:rPr>
        <w:t xml:space="preserve">3_especificacion_tecnica/performance/03_slo_sli_capacidad.md</w:t>
      </w:r>
      <w:r>
        <w:t xml:space="preserve">.</w:t>
      </w:r>
      <w:r>
        <w:t xml:space="preserve"> </w:t>
      </w:r>
      <w:r>
        <w:t xml:space="preserve">- Esquemas y políticas de PII para ES/CDC se referencian desde</w:t>
      </w:r>
      <w:r>
        <w:t xml:space="preserve"> </w:t>
      </w:r>
      <w:r>
        <w:rPr>
          <w:rStyle w:val="VerbatimChar"/>
        </w:rPr>
        <w:t xml:space="preserve">3_especificacion_tecnica/eventos-auditoria/*</w:t>
      </w:r>
      <w:r>
        <w:t xml:space="preserve">.</w:t>
      </w:r>
    </w:p>
    <w:bookmarkEnd w:id="23"/>
    <w:bookmarkEnd w:id="24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2025-08-12T11:48:15Z</dcterms:created>
  <dcterms:modified xsi:type="dcterms:W3CDTF">2025-08-12T11:48:15Z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