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uilding-blocks"/>
    <w:p>
      <w:pPr>
        <w:pStyle w:val="Heading1"/>
      </w:pPr>
      <w:r>
        <w:t xml:space="preserve">5. Building Blocks</w:t>
      </w:r>
    </w:p>
    <w:p>
      <w:pPr>
        <w:pStyle w:val="FirstParagraph"/>
      </w:pPr>
      <w:r>
        <w:t xml:space="preserve">Descomposición estática en bloques principales y responsabilidades.</w:t>
      </w:r>
    </w:p>
    <w:p>
      <w:pPr>
        <w:pStyle w:val="Compact"/>
        <w:numPr>
          <w:ilvl w:val="0"/>
          <w:numId w:val="1001"/>
        </w:numPr>
      </w:pPr>
      <w:r>
        <w:t xml:space="preserve">Núcleo de datos y eventos</w:t>
      </w:r>
    </w:p>
    <w:p>
      <w:pPr>
        <w:pStyle w:val="Compact"/>
        <w:numPr>
          <w:ilvl w:val="1"/>
          <w:numId w:val="1002"/>
        </w:numPr>
      </w:pPr>
      <w:r>
        <w:t xml:space="preserve">Dominio: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,</w:t>
      </w:r>
      <w:r>
        <w:t xml:space="preserve"> </w:t>
      </w:r>
      <w:r>
        <w:rPr>
          <w:rStyle w:val="VerbatimChar"/>
        </w:rPr>
        <w:t xml:space="preserve">FichaPersona</w:t>
      </w:r>
      <w:r>
        <w:t xml:space="preserve">,</w:t>
      </w:r>
      <w:r>
        <w:t xml:space="preserve"> </w:t>
      </w:r>
      <w:r>
        <w:rPr>
          <w:rStyle w:val="VerbatimChar"/>
        </w:rPr>
        <w:t xml:space="preserve">HechoCausal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ConceptoLiquidacion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AcuerdoDePago</w:t>
      </w:r>
      <w:r>
        <w:t xml:space="preserve">,</w:t>
      </w:r>
      <w:r>
        <w:t xml:space="preserve"> </w:t>
      </w:r>
      <w:r>
        <w:rPr>
          <w:rStyle w:val="VerbatimChar"/>
        </w:rPr>
        <w:t xml:space="preserve">Deuda</w:t>
      </w:r>
      <w:r>
        <w:t xml:space="preserve">, etc. (ver MDLO v1 Anexo B).</w:t>
      </w:r>
    </w:p>
    <w:p>
      <w:pPr>
        <w:pStyle w:val="Compact"/>
        <w:numPr>
          <w:ilvl w:val="1"/>
          <w:numId w:val="1002"/>
        </w:numPr>
      </w:pPr>
      <w:r>
        <w:t xml:space="preserve">Persistencia CRUD (system-of-record), outbox para DomainEvents, auditoría AppAudit/CDC.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MarcoNormativo</w:t>
      </w:r>
      <w:r>
        <w:t xml:space="preserve">: repositorios de</w:t>
      </w:r>
      <w:r>
        <w:t xml:space="preserve"> </w:t>
      </w:r>
      <w:r>
        <w:rPr>
          <w:rStyle w:val="VerbatimChar"/>
        </w:rPr>
        <w:t xml:space="preserve">ParametrosNormativos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DirectivaDeEjecucion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FrameworkResolverService</w:t>
      </w:r>
      <w:r>
        <w:t xml:space="preserve"> </w:t>
      </w:r>
      <w:r>
        <w:t xml:space="preserve">(ver MDLO v1 cap. 12).</w:t>
      </w:r>
    </w:p>
    <w:p>
      <w:pPr>
        <w:pStyle w:val="Compact"/>
        <w:numPr>
          <w:ilvl w:val="1"/>
          <w:numId w:val="1002"/>
        </w:numPr>
      </w:pPr>
      <w:r>
        <w:t xml:space="preserve">Publicación EDA: contratos de eventos y publicador outbox — ver</w:t>
      </w:r>
      <w:r>
        <w:t xml:space="preserve"> </w:t>
      </w:r>
      <w:r>
        <w:rPr>
          <w:rStyle w:val="VerbatimChar"/>
        </w:rPr>
        <w:t xml:space="preserve">3_especificacion_tecnica/eventos-auditoria/01_domain_events.md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3_especificacion_tecnica/eventos-auditoria/03_outbox_publicador.md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Integraciones</w:t>
      </w:r>
    </w:p>
    <w:p>
      <w:pPr>
        <w:pStyle w:val="Compact"/>
        <w:numPr>
          <w:ilvl w:val="1"/>
          <w:numId w:val="1003"/>
        </w:numPr>
      </w:pPr>
      <w:r>
        <w:t xml:space="preserve">Conectores a IPS, SUSESO/SIVEGAM, Registro Civil, PREVIRED, Bancos, SAP (ver MDLO v1 Anexo E).</w:t>
      </w:r>
    </w:p>
    <w:p>
      <w:pPr>
        <w:pStyle w:val="Compact"/>
        <w:numPr>
          <w:ilvl w:val="1"/>
          <w:numId w:val="1003"/>
        </w:numPr>
      </w:pPr>
      <w:r>
        <w:t xml:space="preserve">Idempotencia, DLQ, validación de contratos y mapeos (</w:t>
      </w:r>
      <w:r>
        <w:rPr>
          <w:rStyle w:val="VerbatimChar"/>
        </w:rPr>
        <w:t xml:space="preserve">MAP-*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Especificación de ingesta de archivos:</w:t>
      </w:r>
      <w:r>
        <w:t xml:space="preserve"> </w:t>
      </w:r>
      <w:r>
        <w:rPr>
          <w:rStyle w:val="VerbatimChar"/>
        </w:rPr>
        <w:t xml:space="preserve">3_especificacion_tecnica/integraciones/ingesta_archivos.md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Aplicación Front-end (Portal de Analistas)</w:t>
      </w:r>
    </w:p>
    <w:p>
      <w:pPr>
        <w:pStyle w:val="Compact"/>
        <w:numPr>
          <w:ilvl w:val="1"/>
          <w:numId w:val="1004"/>
        </w:numPr>
      </w:pPr>
      <w:r>
        <w:t xml:space="preserve">Interfaz de usuario construida como un monolito moderno usando Inertia.js y React, servida directamente desde el backend de AdonisJS.</w:t>
      </w:r>
    </w:p>
    <w:p>
      <w:pPr>
        <w:pStyle w:val="Compact"/>
        <w:numPr>
          <w:ilvl w:val="1"/>
          <w:numId w:val="1004"/>
        </w:numPr>
      </w:pPr>
      <w:r>
        <w:t xml:space="preserve">Los controladores del backend renderizan componentes React en lugar de retornar JSON a una API.</w:t>
      </w:r>
    </w:p>
    <w:p>
      <w:pPr>
        <w:pStyle w:val="Compact"/>
        <w:numPr>
          <w:ilvl w:val="1"/>
          <w:numId w:val="1004"/>
        </w:numPr>
      </w:pPr>
      <w:r>
        <w:t xml:space="preserve">Responsable de la presentación de datos, gestión de estado de UI y flujos de trabajo del usuario.</w:t>
      </w:r>
    </w:p>
    <w:p>
      <w:pPr>
        <w:pStyle w:val="Compact"/>
        <w:numPr>
          <w:ilvl w:val="1"/>
          <w:numId w:val="1004"/>
        </w:numPr>
      </w:pPr>
      <w:r>
        <w:t xml:space="preserve">Ver especificaciones detalladas en</w:t>
      </w:r>
      <w:r>
        <w:t xml:space="preserve"> </w:t>
      </w:r>
      <w:r>
        <w:rPr>
          <w:rStyle w:val="VerbatimChar"/>
        </w:rPr>
        <w:t xml:space="preserve">3_especificacion_tecnica/frontend/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Seguridad y accesos</w:t>
      </w:r>
    </w:p>
    <w:p>
      <w:pPr>
        <w:pStyle w:val="Compact"/>
        <w:numPr>
          <w:ilvl w:val="1"/>
          <w:numId w:val="1005"/>
        </w:numPr>
      </w:pPr>
      <w:r>
        <w:t xml:space="preserve">RBAC/Policies, secretos, cifrado, scrubbing PII en eventos.</w:t>
      </w:r>
    </w:p>
    <w:p>
      <w:pPr>
        <w:pStyle w:val="Compact"/>
        <w:numPr>
          <w:ilvl w:val="0"/>
          <w:numId w:val="1001"/>
        </w:numPr>
      </w:pPr>
      <w:r>
        <w:t xml:space="preserve">Operación y mantenimiento</w:t>
      </w:r>
    </w:p>
    <w:p>
      <w:pPr>
        <w:pStyle w:val="Compact"/>
        <w:numPr>
          <w:ilvl w:val="1"/>
          <w:numId w:val="1006"/>
        </w:numPr>
      </w:pPr>
      <w:r>
        <w:t xml:space="preserve">Jobs programados (pago, reportería, sincronizaciones), runbooks, backups/DR.</w:t>
      </w:r>
    </w:p>
    <w:p>
      <w:pPr>
        <w:pStyle w:val="Compact"/>
        <w:numPr>
          <w:ilvl w:val="1"/>
          <w:numId w:val="1006"/>
        </w:numPr>
      </w:pPr>
      <w:r>
        <w:t xml:space="preserve">Evidencias y custodia WORM (versión sencilla):</w:t>
      </w:r>
      <w:r>
        <w:t xml:space="preserve"> </w:t>
      </w:r>
      <w:r>
        <w:rPr>
          <w:rStyle w:val="VerbatimChar"/>
        </w:rPr>
        <w:t xml:space="preserve">3_especificacion_tecnica/eventos-auditoria/02_evidencias_y_worm.md</w:t>
      </w:r>
      <w:r>
        <w:t xml:space="preserve"> </w:t>
      </w:r>
      <w:r>
        <w:t xml:space="preserve">(decisión ligada a ADR-007).</w:t>
      </w:r>
    </w:p>
    <w:p>
      <w:pPr>
        <w:pStyle w:val="Compact"/>
        <w:numPr>
          <w:ilvl w:val="1"/>
          <w:numId w:val="1006"/>
        </w:numPr>
      </w:pPr>
      <w:r>
        <w:t xml:space="preserve">Idempotencia operativa (recetas y claves):</w:t>
      </w:r>
      <w:r>
        <w:t xml:space="preserve"> </w:t>
      </w:r>
      <w:r>
        <w:rPr>
          <w:rStyle w:val="VerbatimChar"/>
        </w:rPr>
        <w:t xml:space="preserve">3_especificacion_tecnica/operacion/02_idempotencia.md</w:t>
      </w:r>
      <w:r>
        <w:t xml:space="preserve"> </w:t>
      </w:r>
      <w:r>
        <w:t xml:space="preserve">(decisión ligada a ADR-006).</w:t>
      </w:r>
    </w:p>
    <w:p>
      <w:pPr>
        <w:pStyle w:val="Compact"/>
        <w:numPr>
          <w:ilvl w:val="0"/>
          <w:numId w:val="1001"/>
        </w:numPr>
      </w:pPr>
      <w:r>
        <w:t xml:space="preserve">Pruebas y escenarios</w:t>
      </w:r>
    </w:p>
    <w:p>
      <w:pPr>
        <w:pStyle w:val="Compact"/>
        <w:numPr>
          <w:ilvl w:val="1"/>
          <w:numId w:val="1007"/>
        </w:numPr>
      </w:pPr>
      <w:r>
        <w:t xml:space="preserve">E2E CRUD + eventos, golden sets, escenarios de verificación (Anexo G), matrices de versión.</w:t>
      </w:r>
    </w:p>
    <w:p>
      <w:pPr>
        <w:pStyle w:val="Compact"/>
        <w:numPr>
          <w:ilvl w:val="0"/>
          <w:numId w:val="1001"/>
        </w:numPr>
      </w:pPr>
      <w:r>
        <w:t xml:space="preserve">Performance y capacidad</w:t>
      </w:r>
    </w:p>
    <w:p>
      <w:pPr>
        <w:pStyle w:val="Compact"/>
        <w:numPr>
          <w:ilvl w:val="1"/>
          <w:numId w:val="1008"/>
        </w:numPr>
      </w:pPr>
      <w:r>
        <w:t xml:space="preserve">Índices, materialized views, particionado por tiempo, SLO/SLI.</w:t>
      </w:r>
    </w:p>
    <w:p>
      <w:pPr>
        <w:pStyle w:val="FirstParagraph"/>
      </w:pPr>
      <w:r>
        <w:t xml:space="preserve">Nota: Se agregará diagrama de cajas y relaciones en próxima iteración.</w:t>
      </w:r>
    </w:p>
    <w:bookmarkEnd w:id="20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2025-08-12T11:48:15Z</dcterms:created>
  <dcterms:modified xsi:type="dcterms:W3CDTF">2025-08-12T11:48:15Z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