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spliegue-deployment-view"/>
    <w:p>
      <w:pPr>
        <w:pStyle w:val="Heading1"/>
      </w:pPr>
      <w:r>
        <w:t xml:space="preserve">7. Despliegue (Deployment View)</w:t>
      </w:r>
    </w:p>
    <w:bookmarkStart w:id="20" w:name="ambientes"/>
    <w:p>
      <w:pPr>
        <w:pStyle w:val="Heading2"/>
      </w:pPr>
      <w:r>
        <w:t xml:space="preserve">7.1 Ambientes</w:t>
      </w:r>
    </w:p>
    <w:p>
      <w:pPr>
        <w:pStyle w:val="Compact"/>
        <w:numPr>
          <w:ilvl w:val="0"/>
          <w:numId w:val="1001"/>
        </w:numPr>
      </w:pPr>
      <w:r>
        <w:t xml:space="preserve">Dev, Test, Prod con configuración aislada.</w:t>
      </w:r>
    </w:p>
    <w:bookmarkEnd w:id="20"/>
    <w:bookmarkStart w:id="21" w:name="topología"/>
    <w:p>
      <w:pPr>
        <w:pStyle w:val="Heading2"/>
      </w:pPr>
      <w:r>
        <w:t xml:space="preserve">7.2 Topología</w:t>
      </w:r>
    </w:p>
    <w:p>
      <w:pPr>
        <w:pStyle w:val="Compact"/>
        <w:numPr>
          <w:ilvl w:val="0"/>
          <w:numId w:val="1002"/>
        </w:numPr>
      </w:pPr>
      <w:r>
        <w:t xml:space="preserve">API AdonisJS + workers/jobs.</w:t>
      </w:r>
    </w:p>
    <w:p>
      <w:pPr>
        <w:pStyle w:val="Compact"/>
        <w:numPr>
          <w:ilvl w:val="0"/>
          <w:numId w:val="1002"/>
        </w:numPr>
      </w:pPr>
      <w:r>
        <w:t xml:space="preserve">DB relacional (tablas de dominio, outbox, proyecciones).</w:t>
      </w:r>
    </w:p>
    <w:p>
      <w:pPr>
        <w:pStyle w:val="Compact"/>
        <w:numPr>
          <w:ilvl w:val="0"/>
          <w:numId w:val="1002"/>
        </w:numPr>
      </w:pPr>
      <w:r>
        <w:t xml:space="preserve">Almacenamiento de archivos (evidencias/reports).</w:t>
      </w:r>
    </w:p>
    <w:p>
      <w:pPr>
        <w:pStyle w:val="Compact"/>
        <w:numPr>
          <w:ilvl w:val="0"/>
          <w:numId w:val="1002"/>
        </w:numPr>
      </w:pPr>
      <w:r>
        <w:t xml:space="preserve">Mensajería (si aplica outbox→broker).</w:t>
      </w:r>
    </w:p>
    <w:bookmarkEnd w:id="21"/>
    <w:bookmarkStart w:id="22" w:name="mapeo-de-bloques-a-infraestructura"/>
    <w:p>
      <w:pPr>
        <w:pStyle w:val="Heading2"/>
      </w:pPr>
      <w:r>
        <w:t xml:space="preserve">7.3 Mapeo de bloques a infraestructura</w:t>
      </w:r>
    </w:p>
    <w:p>
      <w:pPr>
        <w:pStyle w:val="Compact"/>
        <w:numPr>
          <w:ilvl w:val="0"/>
          <w:numId w:val="1003"/>
        </w:numPr>
      </w:pPr>
      <w:r>
        <w:t xml:space="preserve">Núcleo de dominio y proyecciones → DB primaria.</w:t>
      </w:r>
    </w:p>
    <w:p>
      <w:pPr>
        <w:pStyle w:val="Compact"/>
        <w:numPr>
          <w:ilvl w:val="0"/>
          <w:numId w:val="1003"/>
        </w:numPr>
      </w:pPr>
      <w:r>
        <w:t xml:space="preserve">Integraciones → conectores HTTP/Async con retry/timeout.</w:t>
      </w:r>
    </w:p>
    <w:bookmarkEnd w:id="22"/>
    <w:bookmarkStart w:id="23" w:name="cicd-y-configuración"/>
    <w:p>
      <w:pPr>
        <w:pStyle w:val="Heading2"/>
      </w:pPr>
      <w:r>
        <w:t xml:space="preserve">7.4 CI/CD y configuración</w:t>
      </w:r>
    </w:p>
    <w:p>
      <w:pPr>
        <w:pStyle w:val="Compact"/>
        <w:numPr>
          <w:ilvl w:val="0"/>
          <w:numId w:val="1004"/>
        </w:numPr>
      </w:pPr>
      <w:r>
        <w:t xml:space="preserve">Migraciones versionadas; healthchecks; variables por entorno; secretos en gestor seguro.</w:t>
      </w:r>
    </w:p>
    <w:p>
      <w:pPr>
        <w:pStyle w:val="Compact"/>
        <w:numPr>
          <w:ilvl w:val="0"/>
          <w:numId w:val="1004"/>
        </w:numPr>
      </w:pPr>
      <w:r>
        <w:t xml:space="preserve">Artefactos normativos (parámetros/directivas) versionados y promovidos por ambiente con verificación EV (Anexo G).</w:t>
      </w:r>
    </w:p>
    <w:p>
      <w:pPr>
        <w:pStyle w:val="FirstParagraph"/>
      </w:pPr>
      <w:r>
        <w:t xml:space="preserve">Nota: Se incorporará diagrama de despliegue en iteraciones posteriores.</w:t>
      </w:r>
    </w:p>
    <w:bookmarkEnd w:id="23"/>
    <w:bookmarkEnd w:id="24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2025-08-12T11:48:25Z</dcterms:created>
  <dcterms:modified xsi:type="dcterms:W3CDTF">2025-08-12T11:48:25Z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