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ceptos-transversales"/>
    <w:p>
      <w:pPr>
        <w:pStyle w:val="Heading1"/>
      </w:pPr>
      <w:r>
        <w:t xml:space="preserve">8. Conceptos Transversales</w:t>
      </w:r>
    </w:p>
    <w:p>
      <w:pPr>
        <w:pStyle w:val="Compact"/>
        <w:numPr>
          <w:ilvl w:val="0"/>
          <w:numId w:val="1001"/>
        </w:numPr>
      </w:pPr>
      <w:r>
        <w:t xml:space="preserve">Modelo de datos y persistencia: entidades MDLO v1 (Anexo B), soft deletes, versionado de esquema, particionado →</w:t>
      </w:r>
      <w:r>
        <w:t xml:space="preserve"> </w:t>
      </w:r>
      <w:r>
        <w:rPr>
          <w:rStyle w:val="VerbatimChar"/>
        </w:rPr>
        <w:t xml:space="preserve">3_especificacion_tecnica/datos/</w:t>
      </w:r>
    </w:p>
    <w:p>
      <w:pPr>
        <w:pStyle w:val="Compact"/>
        <w:numPr>
          <w:ilvl w:val="0"/>
          <w:numId w:val="1001"/>
        </w:numPr>
      </w:pPr>
      <w:r>
        <w:t xml:space="preserve">Eventos y auditoría: CRUD + DomainEvents vía outbox; AppAudit/CDC; idempotencia y correlación →</w:t>
      </w:r>
      <w:r>
        <w:t xml:space="preserve"> </w:t>
      </w:r>
      <w:r>
        <w:rPr>
          <w:rStyle w:val="VerbatimChar"/>
        </w:rPr>
        <w:t xml:space="preserve">3_especificacion_tecnica/eventos-auditoria/</w:t>
      </w:r>
    </w:p>
    <w:p>
      <w:pPr>
        <w:pStyle w:val="Compact"/>
        <w:numPr>
          <w:ilvl w:val="1"/>
          <w:numId w:val="1002"/>
        </w:numPr>
      </w:pPr>
      <w:r>
        <w:t xml:space="preserve">Evidencias de procesos y custodia WORM (simple) →</w:t>
      </w:r>
      <w:r>
        <w:t xml:space="preserve"> </w:t>
      </w:r>
      <w:r>
        <w:rPr>
          <w:rStyle w:val="VerbatimChar"/>
        </w:rPr>
        <w:t xml:space="preserve">3_especificacion_tecnica/eventos-auditoria/02_evidencias_y_worm.md</w:t>
      </w:r>
    </w:p>
    <w:p>
      <w:pPr>
        <w:pStyle w:val="Compact"/>
        <w:numPr>
          <w:ilvl w:val="1"/>
          <w:numId w:val="1002"/>
        </w:numPr>
      </w:pPr>
      <w:r>
        <w:t xml:space="preserve">Contratos de eventos y publicador outbox →</w:t>
      </w:r>
      <w:r>
        <w:t xml:space="preserve"> </w:t>
      </w:r>
      <w:r>
        <w:rPr>
          <w:rStyle w:val="VerbatimChar"/>
        </w:rPr>
        <w:t xml:space="preserve">3_especificacion_tecnica/eventos-auditoria/01_domain_events.md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3_especificacion_tecnica/eventos-auditoria/03_outbox_publicador.md</w:t>
      </w:r>
    </w:p>
    <w:p>
      <w:pPr>
        <w:pStyle w:val="Compact"/>
        <w:numPr>
          <w:ilvl w:val="0"/>
          <w:numId w:val="1001"/>
        </w:numPr>
      </w:pPr>
      <w:r>
        <w:t xml:space="preserve">Normativa: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, parámetros/directivas versionados, resolver y matrices →</w:t>
      </w:r>
      <w:r>
        <w:t xml:space="preserve"> </w:t>
      </w:r>
      <w:r>
        <w:rPr>
          <w:rStyle w:val="VerbatimChar"/>
        </w:rPr>
        <w:t xml:space="preserve">3_especificacion_tecnica/normativa/</w:t>
      </w:r>
    </w:p>
    <w:p>
      <w:pPr>
        <w:pStyle w:val="Compact"/>
        <w:numPr>
          <w:ilvl w:val="0"/>
          <w:numId w:val="1001"/>
        </w:numPr>
      </w:pPr>
      <w:r>
        <w:t xml:space="preserve">Observabilidad y operación: logs, métricas, dashboards, runbooks, manejo de DLQ →</w:t>
      </w:r>
      <w:r>
        <w:t xml:space="preserve"> </w:t>
      </w:r>
      <w:r>
        <w:rPr>
          <w:rStyle w:val="VerbatimChar"/>
        </w:rPr>
        <w:t xml:space="preserve">3_especificacion_tecnica/operacion/</w:t>
      </w:r>
    </w:p>
    <w:p>
      <w:pPr>
        <w:pStyle w:val="Compact"/>
        <w:numPr>
          <w:ilvl w:val="1"/>
          <w:numId w:val="1003"/>
        </w:numPr>
      </w:pPr>
      <w:r>
        <w:t xml:space="preserve">Idempotencia (operación “solo-una-vez”) →</w:t>
      </w:r>
      <w:r>
        <w:t xml:space="preserve"> </w:t>
      </w:r>
      <w:r>
        <w:rPr>
          <w:rStyle w:val="VerbatimChar"/>
        </w:rPr>
        <w:t xml:space="preserve">3_especificacion_tecnica/operacion/02_idempotencia.md</w:t>
      </w:r>
    </w:p>
    <w:p>
      <w:pPr>
        <w:pStyle w:val="Compact"/>
        <w:numPr>
          <w:ilvl w:val="0"/>
          <w:numId w:val="1001"/>
        </w:numPr>
      </w:pPr>
      <w:r>
        <w:t xml:space="preserve">Seguridad: RBAC/Policies, secretos, cifrado, PII/scrubbing en eventos →</w:t>
      </w:r>
      <w:r>
        <w:t xml:space="preserve"> </w:t>
      </w:r>
      <w:r>
        <w:rPr>
          <w:rStyle w:val="VerbatimChar"/>
        </w:rPr>
        <w:t xml:space="preserve">3_especificacion_tecnica/seguridad/</w:t>
      </w:r>
    </w:p>
    <w:p>
      <w:pPr>
        <w:pStyle w:val="Compact"/>
        <w:numPr>
          <w:ilvl w:val="0"/>
          <w:numId w:val="1001"/>
        </w:numPr>
      </w:pPr>
      <w:r>
        <w:t xml:space="preserve">Integraciones: contratos, mapeos</w:t>
      </w:r>
      <w:r>
        <w:t xml:space="preserve"> </w:t>
      </w:r>
      <w:r>
        <w:rPr>
          <w:rStyle w:val="VerbatimChar"/>
        </w:rPr>
        <w:t xml:space="preserve">MAP-*</w:t>
      </w:r>
      <w:r>
        <w:t xml:space="preserve">, compatibilidad y validación de layouts →</w:t>
      </w:r>
      <w:r>
        <w:t xml:space="preserve"> </w:t>
      </w:r>
      <w:r>
        <w:rPr>
          <w:rStyle w:val="VerbatimChar"/>
        </w:rPr>
        <w:t xml:space="preserve">3_especificacion_tecnica/integraciones/</w:t>
      </w:r>
    </w:p>
    <w:p>
      <w:pPr>
        <w:pStyle w:val="Compact"/>
        <w:numPr>
          <w:ilvl w:val="1"/>
          <w:numId w:val="1004"/>
        </w:numPr>
      </w:pPr>
      <w:r>
        <w:t xml:space="preserve">Ingesta de archivos CSV/XLSX →</w:t>
      </w:r>
      <w:r>
        <w:t xml:space="preserve"> </w:t>
      </w:r>
      <w:r>
        <w:rPr>
          <w:rStyle w:val="VerbatimChar"/>
        </w:rPr>
        <w:t xml:space="preserve">3_especificacion_tecnica/integraciones/ingesta_archivos.md</w:t>
      </w:r>
    </w:p>
    <w:p>
      <w:pPr>
        <w:pStyle w:val="Compact"/>
        <w:numPr>
          <w:ilvl w:val="0"/>
          <w:numId w:val="1001"/>
        </w:numPr>
      </w:pPr>
      <w:r>
        <w:t xml:space="preserve">Performance: índices, materialized views, SLO/SLI, capacidad y costos →</w:t>
      </w:r>
      <w:r>
        <w:t xml:space="preserve"> </w:t>
      </w:r>
      <w:r>
        <w:rPr>
          <w:rStyle w:val="VerbatimChar"/>
        </w:rPr>
        <w:t xml:space="preserve">3_especificacion_tecnica/performance/</w:t>
      </w:r>
    </w:p>
    <w:bookmarkEnd w:id="2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