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isiones-arquitectónicas-adrs"/>
    <w:p>
      <w:pPr>
        <w:pStyle w:val="Heading1"/>
      </w:pPr>
      <w:r>
        <w:t xml:space="preserve">9. Decisiones Arquitectónicas (ADRs)</w:t>
      </w:r>
    </w:p>
    <w:p>
      <w:pPr>
        <w:pStyle w:val="FirstParagraph"/>
      </w:pPr>
      <w:r>
        <w:t xml:space="preserve">Lista y enlaces a ADRs relevantes del proyecto (arc42).</w:t>
      </w:r>
    </w:p>
    <w:p>
      <w:pPr>
        <w:pStyle w:val="Compact"/>
        <w:numPr>
          <w:ilvl w:val="0"/>
          <w:numId w:val="1001"/>
        </w:numPr>
      </w:pPr>
      <w:r>
        <w:t xml:space="preserve">ADR-000: Adopción de ADRs (Nygard) —</w:t>
      </w:r>
      <w:r>
        <w:t xml:space="preserve"> </w:t>
      </w:r>
      <w:r>
        <w:rPr>
          <w:rStyle w:val="VerbatimChar"/>
        </w:rPr>
        <w:t xml:space="preserve">2_arquitectura/adrs/adr_000_adoptar_adr_nygard.md</w:t>
      </w:r>
    </w:p>
    <w:p>
      <w:pPr>
        <w:pStyle w:val="Compact"/>
        <w:numPr>
          <w:ilvl w:val="0"/>
          <w:numId w:val="1001"/>
        </w:numPr>
      </w:pPr>
      <w:r>
        <w:t xml:space="preserve">ADR-001: Uso de arc42 como marco y estructura —</w:t>
      </w:r>
      <w:r>
        <w:t xml:space="preserve"> </w:t>
      </w:r>
      <w:r>
        <w:rPr>
          <w:rStyle w:val="VerbatimChar"/>
        </w:rPr>
        <w:t xml:space="preserve">2_arquitectura/adrs/adr_001_arc42_estructura.md</w:t>
      </w:r>
    </w:p>
    <w:p>
      <w:pPr>
        <w:pStyle w:val="Compact"/>
        <w:numPr>
          <w:ilvl w:val="0"/>
          <w:numId w:val="1001"/>
        </w:numPr>
      </w:pPr>
      <w:r>
        <w:t xml:space="preserve">ADR-002: CRUD + eventos + auditoría (sin replays deterministas) —</w:t>
      </w:r>
      <w:r>
        <w:t xml:space="preserve"> </w:t>
      </w:r>
      <w:r>
        <w:rPr>
          <w:rStyle w:val="VerbatimChar"/>
        </w:rPr>
        <w:t xml:space="preserve">2_arquitectura/adrs/adr_002_crud_eventos_auditoria.md</w:t>
      </w:r>
    </w:p>
    <w:p>
      <w:pPr>
        <w:pStyle w:val="Compact"/>
        <w:numPr>
          <w:ilvl w:val="0"/>
          <w:numId w:val="1001"/>
        </w:numPr>
      </w:pPr>
      <w:r>
        <w:t xml:space="preserve">ADR-008: Adopción de AdonisJS 6 como framework base y extensiones del stack —</w:t>
      </w:r>
      <w:r>
        <w:t xml:space="preserve"> </w:t>
      </w:r>
      <w:r>
        <w:rPr>
          <w:rStyle w:val="VerbatimChar"/>
        </w:rPr>
        <w:t xml:space="preserve">2_arquitectura/adrs/adr_008_adonisjs6_stack.md</w:t>
      </w:r>
    </w:p>
    <w:p>
      <w:pPr>
        <w:pStyle w:val="Compact"/>
        <w:numPr>
          <w:ilvl w:val="0"/>
          <w:numId w:val="1001"/>
        </w:numPr>
      </w:pPr>
      <w:r>
        <w:t xml:space="preserve">ADR-009: Invocación interna de PDN vía Servicios (IoC) y Comandos/Jobs (sin APIs HTTP internas) —</w:t>
      </w:r>
      <w:r>
        <w:t xml:space="preserve"> </w:t>
      </w:r>
      <w:r>
        <w:rPr>
          <w:rStyle w:val="VerbatimChar"/>
        </w:rPr>
        <w:t xml:space="preserve">2_arquitectura/adrs/adr_009_pdn_invocacion_interna_servicios_y_commands.md</w:t>
      </w:r>
    </w:p>
    <w:p>
      <w:pPr>
        <w:pStyle w:val="Compact"/>
        <w:numPr>
          <w:ilvl w:val="0"/>
          <w:numId w:val="1001"/>
        </w:numPr>
      </w:pPr>
      <w:r>
        <w:t xml:space="preserve">ADR-010: Estrategia de ejecución masiva de liquidaciones de fin de mes —</w:t>
      </w:r>
      <w:r>
        <w:t xml:space="preserve"> </w:t>
      </w:r>
      <w:r>
        <w:rPr>
          <w:rStyle w:val="VerbatimChar"/>
        </w:rPr>
        <w:t xml:space="preserve">2_arquitectura/adrs/adr_010_ejecucion_masiva_liquidaciones_fin_de_mes.md</w:t>
      </w:r>
    </w:p>
    <w:p>
      <w:pPr>
        <w:pStyle w:val="Compact"/>
        <w:numPr>
          <w:ilvl w:val="0"/>
          <w:numId w:val="1001"/>
        </w:numPr>
      </w:pPr>
      <w:r>
        <w:t xml:space="preserve">ADR-011: Estrategia de Pirámide de Tests (SQLite para rápidos; Postgres para E2E) —</w:t>
      </w:r>
      <w:r>
        <w:t xml:space="preserve"> </w:t>
      </w:r>
      <w:r>
        <w:rPr>
          <w:rStyle w:val="VerbatimChar"/>
        </w:rPr>
        <w:t xml:space="preserve">2_arquitectura/adrs/adr_011_piramide_de_tests.md</w:t>
      </w:r>
    </w:p>
    <w:p>
      <w:pPr>
        <w:pStyle w:val="Compact"/>
        <w:numPr>
          <w:ilvl w:val="0"/>
          <w:numId w:val="1001"/>
        </w:numPr>
      </w:pPr>
      <w:r>
        <w:t xml:space="preserve">ADR-012: Aplicación separada para generación de escenarios de verificación (AdonisJS) y reutilización en E2E —</w:t>
      </w:r>
      <w:r>
        <w:t xml:space="preserve"> </w:t>
      </w:r>
      <w:r>
        <w:rPr>
          <w:rStyle w:val="VerbatimChar"/>
        </w:rPr>
        <w:t xml:space="preserve">2_arquitectura/adrs/adr_012_app_separada_escenarios_verificacion.md</w:t>
      </w:r>
    </w:p>
    <w:p>
      <w:pPr>
        <w:pStyle w:val="Compact"/>
        <w:numPr>
          <w:ilvl w:val="0"/>
          <w:numId w:val="1001"/>
        </w:numPr>
      </w:pPr>
      <w:r>
        <w:t xml:space="preserve">ADR-013: Adopción de BDD (Behavior-Driven Development) como marco de especificación ejecutable —</w:t>
      </w:r>
      <w:r>
        <w:t xml:space="preserve"> </w:t>
      </w:r>
      <w:r>
        <w:rPr>
          <w:rStyle w:val="VerbatimChar"/>
        </w:rPr>
        <w:t xml:space="preserve">2_arquitectura/adrs/adr_013_adopcion_bdd.md</w:t>
      </w:r>
    </w:p>
    <w:p>
      <w:pPr>
        <w:pStyle w:val="FirstParagraph"/>
      </w:pPr>
      <w:r>
        <w:t xml:space="preserve">Propuestas nuevas en esta iteración (archivos en</w:t>
      </w:r>
      <w:r>
        <w:t xml:space="preserve"> </w:t>
      </w:r>
      <w:r>
        <w:rPr>
          <w:rStyle w:val="VerbatimChar"/>
        </w:rPr>
        <w:t xml:space="preserve">adrs/</w:t>
      </w:r>
      <w:r>
        <w:t xml:space="preserve">):</w:t>
      </w:r>
      <w:r>
        <w:t xml:space="preserve"> </w:t>
      </w:r>
      <w:r>
        <w:t xml:space="preserve">- ADR-003: Gobierno del Marco Normativo y Resolver de Versiones —</w:t>
      </w:r>
      <w:r>
        <w:t xml:space="preserve"> </w:t>
      </w:r>
      <w:r>
        <w:rPr>
          <w:rStyle w:val="VerbatimChar"/>
        </w:rPr>
        <w:t xml:space="preserve">2_arquitectura/adrs/adr_003_marco_normativo_resolver.md</w:t>
      </w:r>
      <w:r>
        <w:t xml:space="preserve"> </w:t>
      </w:r>
      <w:r>
        <w:t xml:space="preserve">- ADR-004: Catálogo de Conceptos de Liquidación (CCL) como fuente única de verdad —</w:t>
      </w:r>
      <w:r>
        <w:t xml:space="preserve"> </w:t>
      </w:r>
      <w:r>
        <w:rPr>
          <w:rStyle w:val="VerbatimChar"/>
        </w:rPr>
        <w:t xml:space="preserve">2_arquitectura/adrs/adr_004_catalogo_conceptos_liquidacion.md</w:t>
      </w:r>
      <w:r>
        <w:t xml:space="preserve"> </w:t>
      </w:r>
      <w:r>
        <w:t xml:space="preserve">- ADR-005: Modelo unificado de Acuerdos de Pago y aplicación en liquidación —</w:t>
      </w:r>
      <w:r>
        <w:t xml:space="preserve"> </w:t>
      </w:r>
      <w:r>
        <w:rPr>
          <w:rStyle w:val="VerbatimChar"/>
        </w:rPr>
        <w:t xml:space="preserve">2_arquitectura/adrs/adr_005_acuerdos_de_pago.md</w:t>
      </w:r>
      <w:r>
        <w:t xml:space="preserve"> </w:t>
      </w:r>
      <w:r>
        <w:t xml:space="preserve">- ADR-006: Idempotencia e integridad en integraciones masivas (banco, PREVIRED, SAP) —</w:t>
      </w:r>
      <w:r>
        <w:t xml:space="preserve"> </w:t>
      </w:r>
      <w:r>
        <w:rPr>
          <w:rStyle w:val="VerbatimChar"/>
        </w:rPr>
        <w:t xml:space="preserve">2_arquitectura/adrs/adr_006_idempotencia_integraciones.md</w:t>
      </w:r>
      <w:r>
        <w:t xml:space="preserve"> </w:t>
      </w:r>
      <w:r>
        <w:t xml:space="preserve">- ADR-007: Estrategia de evidencias y trazabilidad para auditoría y reportería —</w:t>
      </w:r>
      <w:r>
        <w:t xml:space="preserve"> </w:t>
      </w:r>
      <w:r>
        <w:rPr>
          <w:rStyle w:val="VerbatimChar"/>
        </w:rPr>
        <w:t xml:space="preserve">2_arquitectura/adrs/adr_007_evidencias_trazabilidad_auditoria.md</w:t>
      </w:r>
      <w:r>
        <w:t xml:space="preserve"> </w:t>
      </w:r>
      <w:r>
        <w:t xml:space="preserve">- ADR-014: Criterios de activación ES/CDC por módulo —</w:t>
      </w:r>
      <w:r>
        <w:t xml:space="preserve"> </w:t>
      </w:r>
      <w:r>
        <w:rPr>
          <w:rStyle w:val="VerbatimChar"/>
        </w:rPr>
        <w:t xml:space="preserve">2_arquitectura/adrs/adr_014_criterios_es_cdc_por_modulo.md</w:t>
      </w:r>
      <w:r>
        <w:t xml:space="preserve"> </w:t>
      </w:r>
      <w:r>
        <w:t xml:space="preserve">- ADR-015: Activación de CDC para reportería y almacenes de lectura —</w:t>
      </w:r>
      <w:r>
        <w:t xml:space="preserve"> </w:t>
      </w:r>
      <w:r>
        <w:rPr>
          <w:rStyle w:val="VerbatimChar"/>
        </w:rPr>
        <w:t xml:space="preserve">2_arquitectura/adrs/adr_015_cdc_para_reporteria.md</w:t>
      </w:r>
      <w:r>
        <w:t xml:space="preserve"> </w:t>
      </w:r>
      <w:r>
        <w:t xml:space="preserve">- ADR-016: Aplicación inicial de ES/CDC y Evidencias (PEC) —</w:t>
      </w:r>
      <w:r>
        <w:t xml:space="preserve"> </w:t>
      </w:r>
      <w:r>
        <w:rPr>
          <w:rStyle w:val="VerbatimChar"/>
        </w:rPr>
        <w:t xml:space="preserve">2_arquitectura/adrs/adr_016_aplicacion_inicial_es_cdc_y_evidencias.md</w:t>
      </w:r>
      <w:r>
        <w:t xml:space="preserve"> </w:t>
      </w:r>
      <w:r>
        <w:t xml:space="preserve">- ADR-017: Patrones para Implementación de Lógica de Negocio —</w:t>
      </w:r>
      <w:r>
        <w:t xml:space="preserve"> </w:t>
      </w:r>
      <w:r>
        <w:rPr>
          <w:rStyle w:val="VerbatimChar"/>
        </w:rPr>
        <w:t xml:space="preserve">2_arquitectura/adrs/adr_017_patrones_logica_de_negocio.md</w:t>
      </w:r>
      <w:r>
        <w:t xml:space="preserve"> </w:t>
      </w:r>
      <w:r>
        <w:t xml:space="preserve">- ADR-018: Herramientas de Scaffolding para Consistencia Arquitectónica —</w:t>
      </w:r>
      <w:r>
        <w:t xml:space="preserve"> </w:t>
      </w:r>
      <w:r>
        <w:rPr>
          <w:rStyle w:val="VerbatimChar"/>
        </w:rPr>
        <w:t xml:space="preserve">2_arquitectura/adrs/adr_018_herramientas_scaffolding.md</w:t>
      </w:r>
      <w:r>
        <w:t xml:space="preserve"> </w:t>
      </w:r>
      <w:r>
        <w:t xml:space="preserve">- ADR-019: Stack Tecnológico para el Front-end Interno —</w:t>
      </w:r>
      <w:r>
        <w:t xml:space="preserve"> </w:t>
      </w:r>
      <w:r>
        <w:rPr>
          <w:rStyle w:val="VerbatimChar"/>
        </w:rPr>
        <w:t xml:space="preserve">2_arquitectura/adrs/adr_019_stack_tecnologico_frontend.md</w:t>
      </w:r>
    </w:p>
    <w:p>
      <w:pPr>
        <w:pStyle w:val="BodyText"/>
      </w:pPr>
      <w:r>
        <w:t xml:space="preserve">Guía:</w:t>
      </w:r>
      <w:r>
        <w:t xml:space="preserve"> </w:t>
      </w:r>
      <w:r>
        <w:t xml:space="preserve">- Crear nuevas ADRs numeradas y fechadas al introducir decisiones de alto impacto (tecnología, estructura, contratos, calidad).</w:t>
      </w:r>
      <w:r>
        <w:t xml:space="preserve"> </w:t>
      </w:r>
      <w:r>
        <w:t xml:space="preserve">- Estructura recomendada: contexto, decisión, alternativas consideradas, consecuencias.</w:t>
      </w:r>
      <w:r>
        <w:t xml:space="preserve"> </w:t>
      </w:r>
      <w:r>
        <w:t xml:space="preserve">- Enlazar desde esta sección y referenciar en las vistas afectadas.</w:t>
      </w:r>
    </w:p>
    <w:bookmarkEnd w:id="2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