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quisitos-de-calidad"/>
    <w:p>
      <w:pPr>
        <w:pStyle w:val="Heading1"/>
      </w:pPr>
      <w:r>
        <w:t xml:space="preserve">10. Requisitos de Calidad</w:t>
      </w:r>
    </w:p>
    <w:bookmarkStart w:id="20" w:name="árbol-de-calidad-isoiec-25010"/>
    <w:p>
      <w:pPr>
        <w:pStyle w:val="Heading2"/>
      </w:pPr>
      <w:r>
        <w:t xml:space="preserve">10.1 Árbol de calidad (ISO/IEC 25010)</w:t>
      </w:r>
    </w:p>
    <w:p>
      <w:pPr>
        <w:pStyle w:val="Compact"/>
        <w:numPr>
          <w:ilvl w:val="0"/>
          <w:numId w:val="1001"/>
        </w:numPr>
      </w:pPr>
      <w:r>
        <w:t xml:space="preserve">Seguridad, Fiabilidad, Mantenibilidad, Rendimiento, Compatibilidad.</w:t>
      </w:r>
    </w:p>
    <w:bookmarkEnd w:id="20"/>
    <w:bookmarkStart w:id="21" w:name="escenarios-de-calidad-medibles"/>
    <w:p>
      <w:pPr>
        <w:pStyle w:val="Heading2"/>
      </w:pPr>
      <w:r>
        <w:t xml:space="preserve">10.2 Escenarios de calidad (medibles)</w:t>
      </w:r>
    </w:p>
    <w:p>
      <w:pPr>
        <w:pStyle w:val="Compact"/>
        <w:numPr>
          <w:ilvl w:val="0"/>
          <w:numId w:val="1002"/>
        </w:numPr>
      </w:pPr>
      <w:r>
        <w:t xml:space="preserve">Auditabilidad y reproducibilidad: dado un caso y periodo histórico, al re-ejecutar, la liquidación coincide bit a bit con la original (mismo MarcoNormativo y conceptos). p95 &lt; 2 min/caso.</w:t>
      </w:r>
    </w:p>
    <w:p>
      <w:pPr>
        <w:pStyle w:val="Compact"/>
        <w:numPr>
          <w:ilvl w:val="0"/>
          <w:numId w:val="1002"/>
        </w:numPr>
      </w:pPr>
      <w:r>
        <w:t xml:space="preserve">Idempotencia: ante reintentos de publicación bancaria/PREVIRED, no se generan duplicados. 0 duplicados detectados por</w:t>
      </w:r>
      <w:r>
        <w:t xml:space="preserve"> </w:t>
      </w:r>
      <w:r>
        <w:rPr>
          <w:rStyle w:val="VerbatimChar"/>
        </w:rPr>
        <w:t xml:space="preserve">idempotency_hash</w:t>
      </w:r>
      <w:r>
        <w:t xml:space="preserve">/mes.</w:t>
      </w:r>
    </w:p>
    <w:p>
      <w:pPr>
        <w:pStyle w:val="Compact"/>
        <w:numPr>
          <w:ilvl w:val="0"/>
          <w:numId w:val="1002"/>
        </w:numPr>
      </w:pPr>
      <w:r>
        <w:t xml:space="preserve">Rendimiento de lote: Nómina mensual (N registros) en &lt; X minutos nominal y &lt; Y minutos pico; reportería en &lt; W minutos.</w:t>
      </w:r>
    </w:p>
    <w:p>
      <w:pPr>
        <w:pStyle w:val="Compact"/>
        <w:numPr>
          <w:ilvl w:val="0"/>
          <w:numId w:val="1002"/>
        </w:numPr>
      </w:pPr>
      <w:r>
        <w:t xml:space="preserve">Disponibilidad: P99 de latencia para endpoints críticos &lt; Z ms; uptime ≥ 99.9% horario hábil.</w:t>
      </w:r>
    </w:p>
    <w:p>
      <w:pPr>
        <w:pStyle w:val="Compact"/>
        <w:numPr>
          <w:ilvl w:val="0"/>
          <w:numId w:val="1002"/>
        </w:numPr>
      </w:pPr>
      <w:r>
        <w:t xml:space="preserve">Seguridad/PII: sin fugas en eventos/payloads; auditorías internas sin hallazgos críticos.</w:t>
      </w:r>
    </w:p>
    <w:bookmarkEnd w:id="21"/>
    <w:bookmarkStart w:id="22" w:name="verificación"/>
    <w:p>
      <w:pPr>
        <w:pStyle w:val="Heading2"/>
      </w:pPr>
      <w:r>
        <w:t xml:space="preserve">10.3 Verificación</w:t>
      </w:r>
    </w:p>
    <w:p>
      <w:pPr>
        <w:pStyle w:val="Compact"/>
        <w:numPr>
          <w:ilvl w:val="0"/>
          <w:numId w:val="1003"/>
        </w:numPr>
      </w:pPr>
      <w:r>
        <w:t xml:space="preserve">Pruebas E2E y golden sets (ver</w:t>
      </w:r>
      <w:r>
        <w:t xml:space="preserve"> </w:t>
      </w:r>
      <w:r>
        <w:rPr>
          <w:rStyle w:val="VerbatimChar"/>
        </w:rPr>
        <w:t xml:space="preserve">tech/especificacion/pruebas/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Monitoreo de SLIs y alertas operativas (ver</w:t>
      </w:r>
      <w:r>
        <w:t xml:space="preserve"> </w:t>
      </w:r>
      <w:r>
        <w:rPr>
          <w:rStyle w:val="VerbatimChar"/>
        </w:rPr>
        <w:t xml:space="preserve">tech/especificacion/operacion/</w:t>
      </w:r>
      <w:r>
        <w:t xml:space="preserve">).</w:t>
      </w:r>
    </w:p>
    <w:bookmarkEnd w:id="22"/>
    <w:bookmarkEnd w:id="23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2025-08-12T11:48:25Z</dcterms:created>
  <dcterms:modified xsi:type="dcterms:W3CDTF">2025-08-12T11:48:25Z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