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iesgos-y-deuda-técnica"/>
    <w:p>
      <w:pPr>
        <w:pStyle w:val="Heading1"/>
      </w:pPr>
      <w:r>
        <w:t xml:space="preserve">11. Riesgos y Deuda Técnica</w:t>
      </w:r>
    </w:p>
    <w:p>
      <w:pPr>
        <w:pStyle w:val="Compact"/>
        <w:numPr>
          <w:ilvl w:val="0"/>
          <w:numId w:val="1001"/>
        </w:numPr>
      </w:pPr>
      <w:r>
        <w:t xml:space="preserve">Cambios normativos no anticipados</w:t>
      </w:r>
    </w:p>
    <w:p>
      <w:pPr>
        <w:pStyle w:val="Compact"/>
        <w:numPr>
          <w:ilvl w:val="1"/>
          <w:numId w:val="1002"/>
        </w:numPr>
      </w:pPr>
      <w:r>
        <w:t xml:space="preserve">Prob/Impacto: Medio/Alto</w:t>
      </w:r>
    </w:p>
    <w:p>
      <w:pPr>
        <w:pStyle w:val="Compact"/>
        <w:numPr>
          <w:ilvl w:val="1"/>
          <w:numId w:val="1002"/>
        </w:numPr>
      </w:pPr>
      <w:r>
        <w:t xml:space="preserve">Mitigación: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+ matrices de vigencia; ADRs; pruebas de regresión y plan de activación/rollback.</w:t>
      </w:r>
    </w:p>
    <w:p>
      <w:pPr>
        <w:pStyle w:val="Compact"/>
        <w:numPr>
          <w:ilvl w:val="0"/>
          <w:numId w:val="1001"/>
        </w:numPr>
      </w:pPr>
      <w:r>
        <w:t xml:space="preserve">Reliquidaciones extensas fuera de ventana operativa</w:t>
      </w:r>
    </w:p>
    <w:p>
      <w:pPr>
        <w:pStyle w:val="Compact"/>
        <w:numPr>
          <w:ilvl w:val="1"/>
          <w:numId w:val="1003"/>
        </w:numPr>
      </w:pPr>
      <w:r>
        <w:t xml:space="preserve">Prob/Impacto: Bajo/Medio</w:t>
      </w:r>
    </w:p>
    <w:p>
      <w:pPr>
        <w:pStyle w:val="Compact"/>
        <w:numPr>
          <w:ilvl w:val="1"/>
          <w:numId w:val="1003"/>
        </w:numPr>
      </w:pPr>
      <w:r>
        <w:t xml:space="preserve">Mitigación: particionado por tiempo, jobs reanudables, priorización y límites.</w:t>
      </w:r>
    </w:p>
    <w:p>
      <w:pPr>
        <w:pStyle w:val="Compact"/>
        <w:numPr>
          <w:ilvl w:val="0"/>
          <w:numId w:val="1001"/>
        </w:numPr>
      </w:pPr>
      <w:r>
        <w:t xml:space="preserve">Integraciones externas no idempotentes o con rechazos masivos</w:t>
      </w:r>
    </w:p>
    <w:p>
      <w:pPr>
        <w:pStyle w:val="Compact"/>
        <w:numPr>
          <w:ilvl w:val="1"/>
          <w:numId w:val="1004"/>
        </w:numPr>
      </w:pPr>
      <w:r>
        <w:t xml:space="preserve">Prob/Impacto: Medio/Medio</w:t>
      </w:r>
    </w:p>
    <w:p>
      <w:pPr>
        <w:pStyle w:val="Compact"/>
        <w:numPr>
          <w:ilvl w:val="1"/>
          <w:numId w:val="1004"/>
        </w:numPr>
      </w:pPr>
      <w:r>
        <w:t xml:space="preserve">Mitigación: outbox, claves de idempotencia, reconciliación, DLQ y replays controlados.</w:t>
      </w:r>
    </w:p>
    <w:p>
      <w:pPr>
        <w:pStyle w:val="Compact"/>
        <w:numPr>
          <w:ilvl w:val="0"/>
          <w:numId w:val="1001"/>
        </w:numPr>
      </w:pPr>
      <w:r>
        <w:t xml:space="preserve">Crecimiento de tablas (eventos, logs)</w:t>
      </w:r>
    </w:p>
    <w:p>
      <w:pPr>
        <w:pStyle w:val="Compact"/>
        <w:numPr>
          <w:ilvl w:val="1"/>
          <w:numId w:val="1005"/>
        </w:numPr>
      </w:pPr>
      <w:r>
        <w:t xml:space="preserve">Prob/Impacto: Medio/Medio</w:t>
      </w:r>
    </w:p>
    <w:p>
      <w:pPr>
        <w:pStyle w:val="Compact"/>
        <w:numPr>
          <w:ilvl w:val="1"/>
          <w:numId w:val="1005"/>
        </w:numPr>
      </w:pPr>
      <w:r>
        <w:t xml:space="preserve">Mitigación: particionado/archivado; índices; TTL lógico y agregados para lectura.</w:t>
      </w:r>
    </w:p>
    <w:p>
      <w:pPr>
        <w:pStyle w:val="Compact"/>
        <w:numPr>
          <w:ilvl w:val="0"/>
          <w:numId w:val="1001"/>
        </w:numPr>
      </w:pPr>
      <w:r>
        <w:t xml:space="preserve">Fuga de PII en eventos/payloads</w:t>
      </w:r>
    </w:p>
    <w:p>
      <w:pPr>
        <w:pStyle w:val="Compact"/>
        <w:numPr>
          <w:ilvl w:val="1"/>
          <w:numId w:val="1006"/>
        </w:numPr>
      </w:pPr>
      <w:r>
        <w:t xml:space="preserve">Prob/Impacto: Bajo/Alto</w:t>
      </w:r>
    </w:p>
    <w:p>
      <w:pPr>
        <w:pStyle w:val="Compact"/>
        <w:numPr>
          <w:ilvl w:val="1"/>
          <w:numId w:val="1006"/>
        </w:numPr>
      </w:pPr>
      <w:r>
        <w:t xml:space="preserve">Mitigación: scrubbing, cifrado, revisiones de seguridad, acceso mínimo.</w:t>
      </w:r>
    </w:p>
    <w:p>
      <w:pPr>
        <w:pStyle w:val="Compact"/>
        <w:numPr>
          <w:ilvl w:val="0"/>
          <w:numId w:val="1001"/>
        </w:numPr>
      </w:pPr>
      <w:r>
        <w:t xml:space="preserve">Divergencias entre CCL y reglas implementadas</w:t>
      </w:r>
    </w:p>
    <w:p>
      <w:pPr>
        <w:pStyle w:val="Compact"/>
        <w:numPr>
          <w:ilvl w:val="1"/>
          <w:numId w:val="1007"/>
        </w:numPr>
      </w:pPr>
      <w:r>
        <w:t xml:space="preserve">Prob/Impacto: Bajo/Medio</w:t>
      </w:r>
    </w:p>
    <w:p>
      <w:pPr>
        <w:pStyle w:val="Compact"/>
        <w:numPr>
          <w:ilvl w:val="1"/>
          <w:numId w:val="1007"/>
        </w:numPr>
      </w:pPr>
      <w:r>
        <w:t xml:space="preserve">Mitigación: gobierno del catálogo, validaciones de consistencia y pruebas EV.</w:t>
      </w:r>
    </w:p>
    <w:bookmarkEnd w:id="20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2025-08-12T11:48:25Z</dcterms:created>
  <dcterms:modified xsi:type="dcterms:W3CDTF">2025-08-12T11:48:25Z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