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30e21a907db5d425c0b0c3481b58ff448a95b0"/>
    <w:p>
      <w:pPr>
        <w:pStyle w:val="Heading3"/>
      </w:pPr>
      <w:r>
        <w:rPr>
          <w:b/>
          <w:bCs/>
        </w:rPr>
        <w:t xml:space="preserve">Resumen del Plan de Desarrollo: Reemplazo del Sistema iSeries (PEC2)</w:t>
      </w:r>
    </w:p>
    <w:bookmarkStart w:id="20" w:name="introducción-y-enfoque"/>
    <w:p>
      <w:pPr>
        <w:pStyle w:val="Heading4"/>
      </w:pPr>
      <w:r>
        <w:rPr>
          <w:b/>
          <w:bCs/>
        </w:rPr>
        <w:t xml:space="preserve">1. Introducción y Enfoque</w:t>
      </w:r>
    </w:p>
    <w:p>
      <w:pPr>
        <w:pStyle w:val="FirstParagraph"/>
      </w:pPr>
      <w:r>
        <w:t xml:space="preserve">Este documento presenta el plan para desarrollar el sistema PEC2, cuyo primer objetivo es reemplazar la funcionalidad del sistema iSeries.</w:t>
      </w:r>
    </w:p>
    <w:p>
      <w:pPr>
        <w:pStyle w:val="BodyText"/>
      </w:pPr>
      <w:r>
        <w:t xml:space="preserve">Para acelerar la entrega y capitalizar el conocimiento existente, este plan se basa en dos pilares fundamentales: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Análisis y Migración de Lógica Existente:</w:t>
      </w:r>
      <w:r>
        <w:t xml:space="preserve"> </w:t>
      </w:r>
      <w:r>
        <w:t xml:space="preserve">Se analizará la lógica de negocio y las especificaciones existentes para acelerar la implementación de una nueva versión limpia y mantenible, especialmente en la transformación de archivos de entidades externas.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Levantamiento de Procesos de Management Solutions:</w:t>
      </w:r>
      <w:r>
        <w:t xml:space="preserve"> </w:t>
      </w:r>
      <w:r>
        <w:t xml:space="preserve">Se utilizará como base el detallado levantamiento de procesos de negocio realizado por la consultora Management Solutions, asegurando que la lógica implementada refleje fielmente la operativa definida.</w:t>
      </w:r>
    </w:p>
    <w:p>
      <w:pPr>
        <w:pStyle w:val="BodyText"/>
      </w:pPr>
      <w:r>
        <w:t xml:space="preserve">El enfoque del proyecto es de</w:t>
      </w:r>
      <w:r>
        <w:t xml:space="preserve"> </w:t>
      </w:r>
      <w:r>
        <w:rPr>
          <w:b/>
          <w:bCs/>
        </w:rPr>
        <w:t xml:space="preserve">entregas incrementales y verificables</w:t>
      </w:r>
      <w:r>
        <w:t xml:space="preserve"> </w:t>
      </w:r>
      <w:r>
        <w:t xml:space="preserve">a través de</w:t>
      </w:r>
      <w:r>
        <w:t xml:space="preserve"> </w:t>
      </w:r>
      <w:r>
        <w:t xml:space="preserve">“etapas”</w:t>
      </w:r>
      <w:r>
        <w:t xml:space="preserve"> </w:t>
      </w:r>
      <w:r>
        <w:t xml:space="preserve">funcionales para mitigar riesgos y validar el progreso de forma continua con el negocio.</w:t>
      </w:r>
    </w:p>
    <w:p>
      <w:pPr>
        <w:pStyle w:val="BodyText"/>
      </w:pPr>
      <w:r>
        <w:t xml:space="preserve">Los principios técnicos del nuevo sistema son la</w:t>
      </w:r>
      <w:r>
        <w:t xml:space="preserve"> </w:t>
      </w:r>
      <w:r>
        <w:rPr>
          <w:b/>
          <w:bCs/>
        </w:rPr>
        <w:t xml:space="preserve">auditabilidad, la trazabilidad y la correcta aplicación de la normativa vigente</w:t>
      </w:r>
      <w:r>
        <w:t xml:space="preserve">, anclando cada cálculo a un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específico.</w:t>
      </w:r>
    </w:p>
    <w:bookmarkEnd w:id="20"/>
    <w:bookmarkStart w:id="21" w:name="fases-del-proyecto"/>
    <w:p>
      <w:pPr>
        <w:pStyle w:val="Heading4"/>
      </w:pPr>
      <w:r>
        <w:rPr>
          <w:b/>
          <w:bCs/>
        </w:rPr>
        <w:t xml:space="preserve">2. Fases del Proyecto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1: Construcción del Núcleo Operativo (funciones actuales de iSeries):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Construir, etapa por etapa, toda la funcionalidad necesaria para operar el día a día, incluyendo la automatización de las ingestas de datos más críticas para eliminar la carga operativa manual.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2: Evolución del Sistema: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Una vez reemplazado iSeries, implementar las capacidades avanzadas definidas en el modelo de dominio (MDLO) para optimizar y expandir la operación.</w:t>
      </w:r>
    </w:p>
    <w:p>
      <w:r>
        <w:pict>
          <v:rect style="width:0;height:1.5pt" o:hralign="center" o:hrstd="t" o:hr="t"/>
        </w:pict>
      </w:r>
    </w:p>
    <w:bookmarkEnd w:id="21"/>
    <w:bookmarkStart w:id="22" w:name="roadmap-de-la-fase-1-por-etapas"/>
    <w:p>
      <w:pPr>
        <w:pStyle w:val="Heading4"/>
      </w:pPr>
      <w:r>
        <w:rPr>
          <w:b/>
          <w:bCs/>
        </w:rPr>
        <w:t xml:space="preserve">3. Roadmap de la Fase 1 por Etapas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1: Cimientos y Componente de Ingesta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Establecer la base técnica del sistema, incluyendo un componente genérico y parametrizable para la ingesta y transformación de archivos, diseñado para implementar los nuevos módulos de transformación basados en el análisis de la lógica existente.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equipo cuenta con un entorno de trabajo seguro y un componente listo para ser configurado con los módulos de transformación de cada proveedor.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2: Otorgamiento y Ciclo de Vida Básico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la creación de prestaciones y la gestión de su vigencia.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Capacidades Clave:</w:t>
      </w:r>
      <w:r>
        <w:t xml:space="preserve"> </w:t>
      </w:r>
      <w:r>
        <w:t xml:space="preserve">Otorgamiento de la prestación (</w:t>
      </w:r>
      <w:r>
        <w:rPr>
          <w:rStyle w:val="VerbatimChar"/>
        </w:rPr>
        <w:t xml:space="preserve">PDN-OTG-002</w:t>
      </w:r>
      <w:r>
        <w:t xml:space="preserve">), Procesamiento de archivos del Registro Civil (</w:t>
      </w:r>
      <w:r>
        <w:rPr>
          <w:rStyle w:val="VerbatimChar"/>
        </w:rPr>
        <w:t xml:space="preserve">INT-REGCIVIL-001</w:t>
      </w:r>
      <w:r>
        <w:t xml:space="preserve">) para la aplicación de ceses y suspensiones (</w:t>
      </w:r>
      <w:r>
        <w:rPr>
          <w:rStyle w:val="VerbatimChar"/>
        </w:rPr>
        <w:t xml:space="preserve">PDN-MANT-001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PDN-MANT-010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crear prestaciones y gobernar su vigencia (activa, suspendida, cesada) basándose en reglas de negocio y datos externos.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3: Ingesta de Haberes y Descuentos Externos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Automatizar la ingesta de todos los archivos de entidades externas que informan haberes y descuentos, para asegurar que el cálculo de la liquidación mensual sea completo y preciso.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Capacidades Clave:</w:t>
      </w:r>
      <w:r>
        <w:t xml:space="preserve"> </w:t>
      </w:r>
      <w:r>
        <w:t xml:space="preserve">Implementar los módulos de transformación para los archivos nativos de las siguientes entidades, basados en el análisis de la lógica de mapeo existente: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IPS:</w:t>
      </w:r>
      <w:r>
        <w:t xml:space="preserve"> </w:t>
      </w:r>
      <w:r>
        <w:t xml:space="preserve">para la ingesta de la Pensión Garantizada Universal (PGU) y otros beneficios estatales (</w:t>
      </w:r>
      <w:r>
        <w:rPr>
          <w:rStyle w:val="VerbatimChar"/>
        </w:rPr>
        <w:t xml:space="preserve">INT-IPS-001</w:t>
      </w:r>
      <w:r>
        <w:t xml:space="preserve">).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SIVEGAM:</w:t>
      </w:r>
      <w:r>
        <w:t xml:space="preserve"> </w:t>
      </w:r>
      <w:r>
        <w:t xml:space="preserve">para la ingesta de las cargas y tramos de Asignación Familiar (</w:t>
      </w:r>
      <w:r>
        <w:rPr>
          <w:rStyle w:val="VerbatimChar"/>
        </w:rPr>
        <w:t xml:space="preserve">INT-SIVEGAM-001</w:t>
      </w:r>
      <w:r>
        <w:t xml:space="preserve">).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FONASA:</w:t>
      </w:r>
      <w:r>
        <w:t xml:space="preserve"> </w:t>
      </w:r>
      <w:r>
        <w:t xml:space="preserve">para la ingesta de descuentos por préstamos médicos (</w:t>
      </w:r>
      <w:r>
        <w:rPr>
          <w:rStyle w:val="VerbatimChar"/>
        </w:rPr>
        <w:t xml:space="preserve">INT-FONASA-001</w:t>
      </w:r>
      <w:r>
        <w:t xml:space="preserve">).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Cajas de Compensación (CCAF):</w:t>
      </w:r>
      <w:r>
        <w:t xml:space="preserve"> </w:t>
      </w:r>
      <w:r>
        <w:t xml:space="preserve">para la ingesta de descuentos por créditos sociales (</w:t>
      </w:r>
      <w:r>
        <w:rPr>
          <w:rStyle w:val="VerbatimChar"/>
        </w:rPr>
        <w:t xml:space="preserve">INT-CCAF-001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procesar automáticamente los archivos de estas cuatro entidades, dejando los datos listos para ser aplicados en el cálculo de la liquidación.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4: Gestión de Mantenimientos Críticos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las capacidades para gestionar cambios y eventos comunes que son críticos para la operación diaria.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Capacidades Clave:</w:t>
      </w:r>
      <w:r>
        <w:t xml:space="preserve"> </w:t>
      </w:r>
      <w:r>
        <w:t xml:space="preserve">Reactivación de pensión de orfandad (</w:t>
      </w:r>
      <w:r>
        <w:rPr>
          <w:rStyle w:val="VerbatimChar"/>
        </w:rPr>
        <w:t xml:space="preserve">PDN-MANT-003</w:t>
      </w:r>
      <w:r>
        <w:t xml:space="preserve">), Gestión de acuerdos de pago como retenciones judiciales (</w:t>
      </w:r>
      <w:r>
        <w:rPr>
          <w:rStyle w:val="VerbatimChar"/>
        </w:rPr>
        <w:t xml:space="preserve">PDN-MANT-009</w:t>
      </w:r>
      <w:r>
        <w:t xml:space="preserve">), y aplicación de revisión por agravamiento (</w:t>
      </w:r>
      <w:r>
        <w:rPr>
          <w:rStyle w:val="VerbatimChar"/>
        </w:rPr>
        <w:t xml:space="preserve">PDN-MANT-004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procesar modificaciones y eventos de mantenimiento comunes sobre una prestación existente.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5: Cálculo y Generación de Pagos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el motor de cálculo de la liquidación mensual y generar los archivos de pago y contabilidad.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Capacidades Clave:</w:t>
      </w:r>
      <w:r>
        <w:t xml:space="preserve"> </w:t>
      </w:r>
      <w:r>
        <w:t xml:space="preserve">Cálculo de la liquidación (</w:t>
      </w:r>
      <w:r>
        <w:rPr>
          <w:rStyle w:val="VerbatimChar"/>
        </w:rPr>
        <w:t xml:space="preserve">PDN-PAG-003</w:t>
      </w:r>
      <w:r>
        <w:t xml:space="preserve">), Generación de archivos para Banco de Chile (</w:t>
      </w:r>
      <w:r>
        <w:rPr>
          <w:rStyle w:val="VerbatimChar"/>
        </w:rPr>
        <w:t xml:space="preserve">INT-BCH-001</w:t>
      </w:r>
      <w:r>
        <w:t xml:space="preserve">), SAP (</w:t>
      </w:r>
      <w:r>
        <w:rPr>
          <w:rStyle w:val="VerbatimChar"/>
        </w:rPr>
        <w:t xml:space="preserve">INT-SAP-001</w:t>
      </w:r>
      <w:r>
        <w:t xml:space="preserve">) y PREVIRED (</w:t>
      </w:r>
      <w:r>
        <w:rPr>
          <w:rStyle w:val="VerbatimChar"/>
        </w:rPr>
        <w:t xml:space="preserve">INT-PREVIRED-001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Se demuestra el cálculo de una liquidación completa y la generación de todos los archivos de pago y reportería asociados.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6: Gestión de Sobrevivencia y Múltiples Beneficiarios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el caso de negocio donde una pensión se distribuye entre varios beneficiarios.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calcula y ajusta correctamente las pensiones para un grupo de sobrevivencia.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7: Reportería Regulatoria Final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Completar la reportería regulatoria necesaria para la operación.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Capacidades Clave:</w:t>
      </w:r>
      <w:r>
        <w:t xml:space="preserve"> </w:t>
      </w:r>
      <w:r>
        <w:t xml:space="preserve">Generación del informe GRIS para SUSESO (</w:t>
      </w:r>
      <w:r>
        <w:rPr>
          <w:rStyle w:val="VerbatimChar"/>
        </w:rPr>
        <w:t xml:space="preserve">PDN-REP-004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Se genera el informe GRIS validado en formato y contenido.</w:t>
      </w:r>
    </w:p>
    <w:p>
      <w:r>
        <w:pict>
          <v:rect style="width:0;height:1.5pt" o:hralign="center" o:hrstd="t" o:hr="t"/>
        </w:pict>
      </w:r>
    </w:p>
    <w:bookmarkEnd w:id="22"/>
    <w:bookmarkStart w:id="23" w:name="análisis-de-cobertura-y-siguientes-pasos"/>
    <w:p>
      <w:pPr>
        <w:pStyle w:val="Heading4"/>
      </w:pPr>
      <w:r>
        <w:rPr>
          <w:b/>
          <w:bCs/>
        </w:rPr>
        <w:t xml:space="preserve">4. Análisis de Cobertura y Siguientes Pasos</w:t>
      </w:r>
    </w:p>
    <w:p>
      <w:pPr>
        <w:pStyle w:val="FirstParagraph"/>
      </w:pPr>
      <w:r>
        <w:rPr>
          <w:b/>
          <w:bCs/>
        </w:rPr>
        <w:t xml:space="preserve">Funcionalidades Cubiertas por el Núcleo Operativo:</w:t>
      </w:r>
      <w:r>
        <w:t xml:space="preserve"> </w:t>
      </w:r>
      <w:r>
        <w:t xml:space="preserve">El plan de la Fase 1 cubre las capacidades centrales para la operación diaria. Se ha reforzado el plan para incluir análisis de riesgos tempranos sobre funcionalidades de Fase 2 y para detallar de forma más precisa el esfuerzo requerido en pruebas y tareas complejas, asegurando una base más robusta.</w:t>
      </w:r>
    </w:p>
    <w:p>
      <w:pPr>
        <w:pStyle w:val="BodyText"/>
      </w:pPr>
      <w:r>
        <w:rPr>
          <w:b/>
          <w:bCs/>
        </w:rPr>
        <w:t xml:space="preserve">Funcionalidades Postergadas a Fase 2: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Gestión Financiera de Concurrencias (</w:t>
      </w:r>
      <w:r>
        <w:rPr>
          <w:rStyle w:val="VerbatimChar"/>
          <w:b/>
          <w:bCs/>
        </w:rPr>
        <w:t xml:space="preserve">PDN-FIN-*</w:t>
      </w:r>
      <w:r>
        <w:rPr>
          <w:b/>
          <w:bCs/>
        </w:rPr>
        <w:t xml:space="preserve">):</w:t>
      </w:r>
      <w:r>
        <w:t xml:space="preserve"> </w:t>
      </w:r>
      <w:r>
        <w:t xml:space="preserve">La funcionalidad de iSeries en este ámbito parece ser parcial. Se requiere un análisis detallado con negocio para definir el alcance completo antes de su implementación en Fase 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Correcciones y Reliquidaciones (</w:t>
      </w:r>
      <w:r>
        <w:rPr>
          <w:rStyle w:val="VerbatimChar"/>
          <w:b/>
          <w:bCs/>
        </w:rPr>
        <w:t xml:space="preserve">PDN-COR-*</w:t>
      </w:r>
      <w:r>
        <w:rPr>
          <w:b/>
          <w:bCs/>
        </w:rPr>
        <w:t xml:space="preserve">):</w:t>
      </w:r>
      <w:r>
        <w:t xml:space="preserve"> </w:t>
      </w:r>
      <w:r>
        <w:t xml:space="preserve">La alta complejidad de estos procesos justifica su construcción posterior a la entrega del Núcleo Operativo.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Gobernanza de Excepciones (</w:t>
      </w:r>
      <w:r>
        <w:rPr>
          <w:rStyle w:val="VerbatimChar"/>
          <w:b/>
          <w:bCs/>
        </w:rPr>
        <w:t xml:space="preserve">PDN-GOB-*</w:t>
      </w:r>
      <w:r>
        <w:rPr>
          <w:b/>
          <w:bCs/>
        </w:rPr>
        <w:t xml:space="preserve">):</w:t>
      </w:r>
      <w:r>
        <w:t xml:space="preserve"> </w:t>
      </w:r>
      <w:r>
        <w:t xml:space="preserve">El manejo formal de casos complejos es una capacidad de madurez que se construirá sobre la base del Núcleo Operativo.</w:t>
      </w:r>
    </w:p>
    <w:p>
      <w:pPr>
        <w:pStyle w:val="BodyText"/>
      </w:pPr>
      <w:r>
        <w:rPr>
          <w:b/>
          <w:bCs/>
        </w:rPr>
        <w:t xml:space="preserve">Próximos Pasos y Definición de Alcance con Negocio: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Inicio de la Etapa 1:</w:t>
      </w:r>
      <w:r>
        <w:t xml:space="preserve"> </w:t>
      </w:r>
      <w:r>
        <w:t xml:space="preserve">El equipo de desarrollo comienza el trabajo sobre los cimientos de calidad y seguridad.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Clarificación Funcional (Concurrencia):</w:t>
      </w:r>
      <w:r>
        <w:t xml:space="preserve"> </w:t>
      </w:r>
      <w:r>
        <w:t xml:space="preserve">Sostener una sesión de trabajo con el negocio para dilucidar el comportamiento exacto y la cobertura del proceso de prorrata/concurrencia en el sistema iSeries actual.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Detalle de la Etapa 2:</w:t>
      </w:r>
      <w:r>
        <w:t xml:space="preserve"> </w:t>
      </w:r>
      <w:r>
        <w:t xml:space="preserve">Se realiza una sesión de trabajo con el negocio para detallar las pruebas y criterios de aceptación específicos para el</w:t>
      </w:r>
      <w:r>
        <w:t xml:space="preserve"> </w:t>
      </w:r>
      <w:r>
        <w:t xml:space="preserve">“Otorgamiento y Ciclo de Vida Básico”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Sesión de Priorización de Alcance (Mantenimiento):</w:t>
      </w:r>
      <w:r>
        <w:t xml:space="preserve"> </w:t>
      </w:r>
      <w:r>
        <w:t xml:space="preserve">Se agendará una reunión con el equipo de negocio para revisar los siguientes procesos de mantenimiento y decidir si deben ser incluidos en la Fase 1 o pueden ser postergados a la Fase 2:</w:t>
      </w:r>
    </w:p>
    <w:p>
      <w:pPr>
        <w:pStyle w:val="Compact"/>
        <w:numPr>
          <w:ilvl w:val="1"/>
          <w:numId w:val="1014"/>
        </w:numPr>
      </w:pPr>
      <w:r>
        <w:t xml:space="preserve">Reevaluación de Incapacidad por un nuevo siniestro (</w:t>
      </w:r>
      <w:r>
        <w:rPr>
          <w:rStyle w:val="VerbatimChar"/>
        </w:rPr>
        <w:t xml:space="preserve">PDN-MANT-005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Gestión de pago a beneficiarios en el extranjero (</w:t>
      </w:r>
      <w:r>
        <w:rPr>
          <w:rStyle w:val="VerbatimChar"/>
        </w:rPr>
        <w:t xml:space="preserve">PDN-MANT-008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Notificación de cese de funciones a empleadores públicos (</w:t>
      </w:r>
      <w:r>
        <w:rPr>
          <w:rStyle w:val="VerbatimChar"/>
        </w:rPr>
        <w:t xml:space="preserve">PDN-MANT-011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demostraciones-y-puntos-de-control"/>
    <w:p>
      <w:pPr>
        <w:pStyle w:val="Heading4"/>
      </w:pPr>
      <w:r>
        <w:rPr>
          <w:b/>
          <w:bCs/>
        </w:rPr>
        <w:t xml:space="preserve">5. Demostraciones y Puntos de Control</w:t>
      </w:r>
    </w:p>
    <w:p>
      <w:pPr>
        <w:pStyle w:val="FirstParagraph"/>
      </w:pPr>
      <w:r>
        <w:t xml:space="preserve">Para garantizar la visibilidad y alineación continua,</w:t>
      </w:r>
      <w:r>
        <w:t xml:space="preserve"> </w:t>
      </w:r>
      <w:r>
        <w:rPr>
          <w:b/>
          <w:bCs/>
        </w:rPr>
        <w:t xml:space="preserve">al finalizar cada etapa clave se realizará una demostración funcional sobre el Portal de Analistas</w:t>
      </w:r>
      <w:r>
        <w:t xml:space="preserve"> </w:t>
      </w:r>
      <w:r>
        <w:t xml:space="preserve">al equipo de negocio. El objetivo es validar tanto la lógica de negocio como la experiencia de usuario en la interfaz real antes de proceder a la siguiente etapa. El primer hito de demostración significativo se realizará al concluir la</w:t>
      </w:r>
      <w:r>
        <w:t xml:space="preserve"> </w:t>
      </w:r>
      <w:r>
        <w:rPr>
          <w:b/>
          <w:bCs/>
        </w:rPr>
        <w:t xml:space="preserve">Etapa 5</w:t>
      </w:r>
      <w:r>
        <w:t xml:space="preserve">, ya que representa el primer ciclo de cálculo y pago completo del sistema.</w:t>
      </w:r>
    </w:p>
    <w:bookmarkEnd w:id="24"/>
    <w:bookmarkEnd w:id="25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2025-08-12T11:52:04Z</dcterms:created>
  <dcterms:modified xsi:type="dcterms:W3CDTF">2025-08-12T11:52:04Z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