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e7a8c07ef8d94109e3da54f9c89bcae275be23"/>
    <w:p>
      <w:pPr>
        <w:pStyle w:val="Heading1"/>
      </w:pPr>
      <w:r>
        <w:t xml:space="preserve">Plan de Desarrollo Detallado (Alternativa 2: Enfocado en Capacidades de Negocio)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2.4 (Desglose de Reglas y Tareas)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2025-08-11</w:t>
      </w:r>
    </w:p>
    <w:p>
      <w:r>
        <w:pict>
          <v:rect style="width:0;height:1.5pt" o:hralign="center" o:hrstd="t" o:hr="t"/>
        </w:pict>
      </w:r>
    </w:p>
    <w:bookmarkStart w:id="21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presenta una alternativa de plan de desarrollo para el sistema PEC2, estructurado en torno a</w:t>
      </w:r>
      <w:r>
        <w:t xml:space="preserve"> </w:t>
      </w:r>
      <w:r>
        <w:rPr>
          <w:b/>
          <w:bCs/>
        </w:rPr>
        <w:t xml:space="preserve">Capacidades de Negocio</w:t>
      </w:r>
      <w:r>
        <w:t xml:space="preserve"> </w:t>
      </w:r>
      <w:r>
        <w:t xml:space="preserve">para alinear el backlog directamente con las áreas funcionales de la empresa.</w:t>
      </w:r>
    </w:p>
    <w:p>
      <w:pPr>
        <w:pStyle w:val="BodyText"/>
      </w:pPr>
      <w:r>
        <w:t xml:space="preserve">La ejecución se guiará por una</w:t>
      </w:r>
      <w:r>
        <w:t xml:space="preserve"> </w:t>
      </w:r>
      <w:r>
        <w:rPr>
          <w:b/>
          <w:bCs/>
        </w:rPr>
        <w:t xml:space="preserve">metodología Agile (Scrum)</w:t>
      </w:r>
      <w:r>
        <w:t xml:space="preserve">.</w:t>
      </w:r>
    </w:p>
    <w:bookmarkStart w:id="20" w:name="X07dc97ea0aef69eec57aeda64d279ddf4be1a0a"/>
    <w:p>
      <w:pPr>
        <w:pStyle w:val="Heading3"/>
      </w:pPr>
      <w:r>
        <w:t xml:space="preserve">Estrategia de Priorización: El</w:t>
      </w:r>
      <w:r>
        <w:t xml:space="preserve"> </w:t>
      </w:r>
      <w:r>
        <w:t xml:space="preserve">“Camino Feliz”</w:t>
      </w:r>
    </w:p>
    <w:p>
      <w:pPr>
        <w:pStyle w:val="FirstParagraph"/>
      </w:pPr>
      <w:r>
        <w:t xml:space="preserve">Dentro de la Fase 1, la priorización inicial seguirá la estrategia del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: construir primero un hilo de funcionalidad completo (otorgamiento y pago simple) para mitigar riesgos y demostrar valor tempranamente.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oles-y-metodología"/>
    <w:p>
      <w:pPr>
        <w:pStyle w:val="Heading2"/>
      </w:pPr>
      <w:r>
        <w:t xml:space="preserve">2. Roles y Metodología</w:t>
      </w:r>
    </w:p>
    <w:p>
      <w:pPr>
        <w:pStyle w:val="FirstParagraph"/>
      </w:pPr>
      <w:r>
        <w:t xml:space="preserve">(Sin cambios)</w:t>
      </w:r>
    </w:p>
    <w:p>
      <w:r>
        <w:pict>
          <v:rect style="width:0;height:1.5pt" o:hralign="center" o:hrstd="t" o:hr="t"/>
        </w:pict>
      </w:r>
    </w:p>
    <w:bookmarkEnd w:id="22"/>
    <w:bookmarkStart w:id="23" w:name="X0e4d52b4fd56b0e11784b6bdcdb79495bebd608"/>
    <w:p>
      <w:pPr>
        <w:pStyle w:val="Heading2"/>
      </w:pPr>
      <w:r>
        <w:t xml:space="preserve">3. Roadmap de Desarrollo por Épicas (Capacidades de Negocio)</w:t>
      </w:r>
    </w:p>
    <w:p>
      <w:pPr>
        <w:pStyle w:val="FirstParagraph"/>
      </w:pPr>
      <w:r>
        <w:t xml:space="preserve">(Sin cambios)</w:t>
      </w:r>
    </w:p>
    <w:p>
      <w:r>
        <w:pict>
          <v:rect style="width:0;height:1.5pt" o:hralign="center" o:hrstd="t" o:hr="t"/>
        </w:pict>
      </w:r>
    </w:p>
    <w:bookmarkEnd w:id="23"/>
    <w:bookmarkStart w:id="29" w:name="X70f1f9ab67953c041bf083e297a03adc9c0a4e2"/>
    <w:p>
      <w:pPr>
        <w:pStyle w:val="Heading2"/>
      </w:pPr>
      <w:r>
        <w:t xml:space="preserve">4. Desglose de Épicas en Historias de Usuario (Con Mejoras)</w:t>
      </w:r>
    </w:p>
    <w:bookmarkStart w:id="24" w:name="X627b371b35437d85b706046a2914c1771b2dcb3"/>
    <w:p>
      <w:pPr>
        <w:pStyle w:val="Heading3"/>
      </w:pPr>
      <w:r>
        <w:t xml:space="preserve">Épica 1: Fundamentos Técnicos y Herramientas (Ampliada)</w:t>
      </w:r>
    </w:p>
    <w:p>
      <w:pPr>
        <w:pStyle w:val="FirstParagraph"/>
      </w:pPr>
      <w:r>
        <w:rPr>
          <w:i/>
          <w:iCs/>
        </w:rPr>
        <w:t xml:space="preserve">Prerrequisito a ejecutar al inicio de la Fase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 1.1 (Fase 1):</w:t>
      </w:r>
      <w:r>
        <w:t xml:space="preserve"> </w:t>
      </w:r>
      <w:r>
        <w:t xml:space="preserve">Configurar el proyecto AdonisJS 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 1.2 (Fase 1):</w:t>
      </w:r>
      <w:r>
        <w:t xml:space="preserve"> </w:t>
      </w:r>
      <w:r>
        <w:t xml:space="preserve">Implementar el pipeline de CI/CD (ADR-011).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 1.3 (Fase 1):</w:t>
      </w:r>
      <w:r>
        <w:t xml:space="preserve"> </w:t>
      </w:r>
      <w:r>
        <w:t xml:space="preserve">Implementar los patrones transversales (outbox, idempotencia, auditoría).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 1.4 (Fase 1):</w:t>
      </w:r>
      <w:r>
        <w:t xml:space="preserve"> </w:t>
      </w:r>
      <w:r>
        <w:t xml:space="preserve">Configurar la plataforma de escenarios de verificación (ADR-012).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 1.5 (Nueva):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 los comandos</w:t>
      </w:r>
      <w:r>
        <w:t xml:space="preserve"> </w:t>
      </w:r>
      <w:r>
        <w:rPr>
          <w:rStyle w:val="VerbatimChar"/>
          <w:b/>
          <w:bCs/>
        </w:rPr>
        <w:t xml:space="preserve">make:action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make:listener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make:rule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make:builder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ADR-018</w:t>
      </w:r>
      <w:r>
        <w:rPr>
          <w:b/>
          <w:bCs/>
        </w:rPr>
        <w:t xml:space="preserve">)</w:t>
      </w:r>
      <w:r>
        <w:t xml:space="preserve">, para acelerar el desarrollo de nuevos componentes de negocio de forma consistente.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 1.6 (Nueva):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 configurar el proyecto AdonisJS con el</w:t>
      </w:r>
      <w:r>
        <w:t xml:space="preserve"> </w:t>
      </w:r>
      <w:r>
        <w:rPr>
          <w:b/>
          <w:bCs/>
        </w:rPr>
        <w:t xml:space="preserve">adaptador de Inertia.js</w:t>
      </w:r>
      <w:r>
        <w:t xml:space="preserve"> </w:t>
      </w:r>
      <w:r>
        <w:t xml:space="preserve">y la estructura base de React, para habilitar el desarrollo del portal de analistas.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 1.7 (Nueva):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Diseñador UX/UI</w:t>
      </w:r>
      <w:r>
        <w:t xml:space="preserve">, quiero crear un</w:t>
      </w:r>
      <w:r>
        <w:t xml:space="preserve"> </w:t>
      </w:r>
      <w:r>
        <w:rPr>
          <w:b/>
          <w:bCs/>
        </w:rPr>
        <w:t xml:space="preserve">prototipo navegable de alta fidelidad</w:t>
      </w:r>
      <w:r>
        <w:t xml:space="preserve"> </w:t>
      </w:r>
      <w:r>
        <w:t xml:space="preserve">para las 3 pantallas principales (Bandeja, FichaPersona, FVM), para validar el flujo de usuario con el equipo de pensiones antes de la construcción.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 1.8 (Nueva):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Arquitecto</w:t>
      </w:r>
      <w:r>
        <w:t xml:space="preserve">, quiero implementar un</w:t>
      </w:r>
      <w:r>
        <w:t xml:space="preserve"> </w:t>
      </w:r>
      <w:r>
        <w:rPr>
          <w:rStyle w:val="VerbatimChar"/>
          <w:b/>
          <w:bCs/>
        </w:rPr>
        <w:t xml:space="preserve">RuleExecutorService</w:t>
      </w:r>
      <w:r>
        <w:t xml:space="preserve"> </w:t>
      </w:r>
      <w:r>
        <w:t xml:space="preserve">genérico que pueda instanciar y ejecutar dinámicamente cualquier Regla de Negocio (RDN) registrada, para desacoplar la orquestación de la lógica.</w:t>
      </w:r>
    </w:p>
    <w:bookmarkEnd w:id="24"/>
    <w:bookmarkStart w:id="25" w:name="Xe57cad2a8cb21b67ccd639eec9dac7fef03300e"/>
    <w:p>
      <w:pPr>
        <w:pStyle w:val="Heading3"/>
      </w:pPr>
      <w:r>
        <w:t xml:space="preserve">Épica 2: Modelo de Datos y Gobierno Normativo</w:t>
      </w:r>
    </w:p>
    <w:p>
      <w:pPr>
        <w:pStyle w:val="FirstParagraph"/>
      </w:pPr>
      <w:r>
        <w:rPr>
          <w:i/>
          <w:iCs/>
        </w:rPr>
        <w:t xml:space="preserve">Prerrequisito a ejecutar al inicio de la Fase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 2.1 (Fase 1):</w:t>
      </w:r>
      <w:r>
        <w:t xml:space="preserve"> </w:t>
      </w:r>
      <w:r>
        <w:t xml:space="preserve">Implementar las migraciones de base de datos del MDLO.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 2.2 (Fase 1):</w:t>
      </w:r>
      <w:r>
        <w:t xml:space="preserve"> </w:t>
      </w:r>
      <w:r>
        <w:t xml:space="preserve">Implementar el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 </w:t>
      </w:r>
      <w:r>
        <w:t xml:space="preserve">(ADR-003).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 2.3 (Fase 1):</w:t>
      </w:r>
      <w:r>
        <w:t xml:space="preserve"> </w:t>
      </w:r>
      <w:r>
        <w:t xml:space="preserve">Cargar artefactos normativos (Marcos y CCL).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 2.4 (Nueva - Spike de Análisis):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Arquitecto</w:t>
      </w:r>
      <w:r>
        <w:t xml:space="preserve">, quiero</w:t>
      </w:r>
      <w:r>
        <w:t xml:space="preserve"> </w:t>
      </w:r>
      <w:r>
        <w:rPr>
          <w:b/>
          <w:bCs/>
        </w:rPr>
        <w:t xml:space="preserve">analizar y validar el modelo de datos contra un escenario de corrección retroactiva (</w:t>
      </w:r>
      <w:r>
        <w:rPr>
          <w:rStyle w:val="VerbatimChar"/>
          <w:b/>
          <w:bCs/>
        </w:rPr>
        <w:t xml:space="preserve">PDN-COR-001</w:t>
      </w:r>
      <w:r>
        <w:rPr>
          <w:b/>
          <w:bCs/>
        </w:rPr>
        <w:t xml:space="preserve">)</w:t>
      </w:r>
      <w:r>
        <w:t xml:space="preserve">, para asegurar que el diseño de la Fase 1 soportará las reliquidaciones de la Fase 2.</w:t>
      </w:r>
    </w:p>
    <w:bookmarkEnd w:id="25"/>
    <w:bookmarkStart w:id="26" w:name="X113b28ea9607082399c408fe9655d4b04566e9c"/>
    <w:p>
      <w:pPr>
        <w:pStyle w:val="Heading3"/>
      </w:pPr>
      <w:r>
        <w:t xml:space="preserve">Épica 3: Otorgamiento y Mantenimiento de Prestaciones</w:t>
      </w:r>
    </w:p>
    <w:p>
      <w:pPr>
        <w:pStyle w:val="FirstParagraph"/>
      </w:pPr>
      <w:r>
        <w:rPr>
          <w:i/>
          <w:iCs/>
        </w:rPr>
        <w:t xml:space="preserve">Cubre la creación y gestión de los derechos de los beneficiarios.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 3.1 (Fase 1):</w:t>
      </w:r>
      <w:r>
        <w:t xml:space="preserve"> </w:t>
      </w:r>
      <w:r>
        <w:t xml:space="preserve">Implementar el proceso de otorgamiento de pensión simple.</w:t>
      </w:r>
      <w:r>
        <w:t xml:space="preserve"> </w:t>
      </w:r>
      <w:r>
        <w:rPr>
          <w:b/>
          <w:bCs/>
        </w:rPr>
        <w:t xml:space="preserve">[PDN: PDN-OTG-002]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Sub-Tarea 3.1.1:</w:t>
      </w:r>
      <w:r>
        <w:t xml:space="preserve"> </w:t>
      </w:r>
      <w:r>
        <w:t xml:space="preserve">Implementar la RDN de validación</w:t>
      </w:r>
      <w:r>
        <w:t xml:space="preserve"> </w:t>
      </w:r>
      <w:r>
        <w:rPr>
          <w:rStyle w:val="VerbatimChar"/>
          <w:b/>
          <w:bCs/>
        </w:rPr>
        <w:t xml:space="preserve">VALID-OTG-001</w:t>
      </w:r>
      <w:r>
        <w:t xml:space="preserve"> </w:t>
      </w:r>
      <w:r>
        <w:t xml:space="preserve">(Validar Cotizaciones al Día), incluyendo su repositorio de datos.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Sub-Tarea 3.1.2:</w:t>
      </w:r>
      <w:r>
        <w:t xml:space="preserve"> </w:t>
      </w:r>
      <w:r>
        <w:t xml:space="preserve">Implementar la RDN de cálculo</w:t>
      </w:r>
      <w:r>
        <w:t xml:space="preserve"> </w:t>
      </w:r>
      <w:r>
        <w:rPr>
          <w:rStyle w:val="VerbatimChar"/>
          <w:b/>
          <w:bCs/>
        </w:rPr>
        <w:t xml:space="preserve">CALC-OTG-001</w:t>
      </w:r>
      <w:r>
        <w:t xml:space="preserve"> </w:t>
      </w:r>
      <w:r>
        <w:t xml:space="preserve">(Calcular Sueldo Base), incluyendo su repositorio y el consumo de parámetros normativos.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Sub-Tarea 3.1.3:</w:t>
      </w:r>
      <w:r>
        <w:t xml:space="preserve"> </w:t>
      </w:r>
      <w:r>
        <w:t xml:space="preserve">Implementar la RDN de cálculo</w:t>
      </w:r>
      <w:r>
        <w:t xml:space="preserve"> </w:t>
      </w:r>
      <w:r>
        <w:rPr>
          <w:rStyle w:val="VerbatimChar"/>
          <w:b/>
          <w:bCs/>
        </w:rPr>
        <w:t xml:space="preserve">CALC-MONTO-PENSION</w:t>
      </w:r>
      <w:r>
        <w:t xml:space="preserve"> </w:t>
      </w:r>
      <w:r>
        <w:t xml:space="preserve">para determinar el monto final de la pensión.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Sub-Tarea 3.1.4:</w:t>
      </w:r>
      <w:r>
        <w:t xml:space="preserve"> </w:t>
      </w:r>
      <w:r>
        <w:t xml:space="preserve">Implementar la clase</w:t>
      </w:r>
      <w:r>
        <w:t xml:space="preserve"> </w:t>
      </w:r>
      <w:r>
        <w:rPr>
          <w:rStyle w:val="VerbatimChar"/>
          <w:b/>
          <w:bCs/>
        </w:rPr>
        <w:t xml:space="preserve">OtorgarPensionAction</w:t>
      </w:r>
      <w:r>
        <w:t xml:space="preserve"> </w:t>
      </w:r>
      <w:r>
        <w:t xml:space="preserve">que orqueste la ejecución de las RDNs anteriores.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Sub-Tarea 3.1.5:</w:t>
      </w:r>
      <w:r>
        <w:t xml:space="preserve"> </w:t>
      </w:r>
      <w:r>
        <w:t xml:space="preserve">Implementar el</w:t>
      </w:r>
      <w:r>
        <w:t xml:space="preserve"> </w:t>
      </w:r>
      <w:r>
        <w:rPr>
          <w:rStyle w:val="VerbatimChar"/>
          <w:b/>
          <w:bCs/>
        </w:rPr>
        <w:t xml:space="preserve">Listener</w:t>
      </w:r>
      <w:r>
        <w:t xml:space="preserve"> </w:t>
      </w:r>
      <w:r>
        <w:t xml:space="preserve">para el evento</w:t>
      </w:r>
      <w:r>
        <w:t xml:space="preserve"> </w:t>
      </w:r>
      <w:r>
        <w:rPr>
          <w:rStyle w:val="VerbatimChar"/>
        </w:rPr>
        <w:t xml:space="preserve">pension:otorgada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 3.2 (Fase 1):</w:t>
      </w:r>
      <w:r>
        <w:t xml:space="preserve"> </w:t>
      </w:r>
      <w:r>
        <w:t xml:space="preserve">Implementar gestión de Asignación Familiar.</w:t>
      </w:r>
      <w:r>
        <w:t xml:space="preserve"> </w:t>
      </w:r>
      <w:r>
        <w:rPr>
          <w:b/>
          <w:bCs/>
        </w:rPr>
        <w:t xml:space="preserve">[PDN: PDN-MANT-007 | RDN: CALC-PLI-003, CUMP-ASIGFAM-001]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 3.3 (Fase 1):</w:t>
      </w:r>
      <w:r>
        <w:t xml:space="preserve"> </w:t>
      </w:r>
      <w:r>
        <w:t xml:space="preserve">Implementar gestión de cobrantes y retenciones judiciales.</w:t>
      </w:r>
      <w:r>
        <w:t xml:space="preserve"> </w:t>
      </w:r>
      <w:r>
        <w:rPr>
          <w:b/>
          <w:bCs/>
        </w:rPr>
        <w:t xml:space="preserve">[PDN: PDN-MANT-009 | RDN: VALID-ACUERDO-*, CALC-PLI-007]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 3.4 (Fase 1):</w:t>
      </w:r>
      <w:r>
        <w:t xml:space="preserve"> </w:t>
      </w:r>
      <w:r>
        <w:t xml:space="preserve">Implementar inactivaciones y reactivaciones básicas.</w:t>
      </w:r>
      <w:r>
        <w:t xml:space="preserve"> </w:t>
      </w:r>
      <w:r>
        <w:rPr>
          <w:b/>
          <w:bCs/>
        </w:rPr>
        <w:t xml:space="preserve">[PDN: PDN-MANT-002, PDN-MANT-003 | RDN: VALID-MANT-001]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 3.5 (Fase 2):</w:t>
      </w:r>
      <w:r>
        <w:t xml:space="preserve"> </w:t>
      </w:r>
      <w:r>
        <w:t xml:space="preserve">Implementar otorgamientos complejos.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 3.6 (Fase 2):</w:t>
      </w:r>
      <w:r>
        <w:t xml:space="preserve"> </w:t>
      </w:r>
      <w:r>
        <w:t xml:space="preserve">Implementar mantenimientos avanzados.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 3.7 (Fase 2):</w:t>
      </w:r>
      <w:r>
        <w:t xml:space="preserve"> </w:t>
      </w:r>
      <w:r>
        <w:t xml:space="preserve">Implementar gobernanza de excepciones.</w:t>
      </w:r>
      <w:r>
        <w:t xml:space="preserve"> </w:t>
      </w:r>
      <w:r>
        <w:rPr>
          <w:b/>
          <w:bCs/>
        </w:rPr>
        <w:t xml:space="preserve">[PDN: PDN-GOB-001 | RDN: VERF-GOB-001]</w:t>
      </w:r>
    </w:p>
    <w:bookmarkEnd w:id="26"/>
    <w:bookmarkStart w:id="27" w:name="épica-4-ciclo-de-pago-mensual"/>
    <w:p>
      <w:pPr>
        <w:pStyle w:val="Heading3"/>
      </w:pPr>
      <w:r>
        <w:t xml:space="preserve">Épica 4: Ciclo de Pago Mensual</w:t>
      </w:r>
    </w:p>
    <w:p>
      <w:pPr>
        <w:pStyle w:val="FirstParagraph"/>
      </w:pPr>
      <w:r>
        <w:rPr>
          <w:i/>
          <w:iCs/>
        </w:rPr>
        <w:t xml:space="preserve">El corazón del sistema.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4.1 (Fase 1):</w:t>
      </w:r>
      <w:r>
        <w:t xml:space="preserve"> </w:t>
      </w:r>
      <w:r>
        <w:t xml:space="preserve">Implementar orquestador del ciclo de pago masivo (ADR-010).</w:t>
      </w:r>
      <w:r>
        <w:t xml:space="preserve"> </w:t>
      </w:r>
      <w:r>
        <w:rPr>
          <w:b/>
          <w:bCs/>
        </w:rPr>
        <w:t xml:space="preserve">[PDN: PDN-PAG-001]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4.2 (Desglosada):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HU 4.2.1: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implementar el</w:t>
      </w:r>
      <w:r>
        <w:t xml:space="preserve"> </w:t>
      </w:r>
      <w:r>
        <w:rPr>
          <w:b/>
          <w:bCs/>
        </w:rPr>
        <w:t xml:space="preserve">cálculo de una liquidación individual</w:t>
      </w:r>
      <w:r>
        <w:t xml:space="preserve">, aplicando haberes y descuentos para una única prestación.</w:t>
      </w:r>
      <w:r>
        <w:t xml:space="preserve"> </w:t>
      </w:r>
      <w:r>
        <w:rPr>
          <w:b/>
          <w:bCs/>
        </w:rPr>
        <w:t xml:space="preserve">[PDN: PDN-PAG-003 | RDN: CALC-PIM-</w:t>
      </w:r>
      <w:r>
        <w:rPr>
          <w:b/>
          <w:bCs/>
          <w:i/>
          <w:iCs/>
        </w:rPr>
        <w:t xml:space="preserve">, CALC-PLI-</w:t>
      </w:r>
      <w:r>
        <w:rPr>
          <w:b/>
          <w:bCs/>
        </w:rPr>
        <w:t xml:space="preserve">]</w:t>
      </w:r>
    </w:p>
    <w:p>
      <w:pPr>
        <w:pStyle w:val="Compact"/>
        <w:numPr>
          <w:ilvl w:val="2"/>
          <w:numId w:val="1007"/>
        </w:numPr>
      </w:pPr>
      <w:r>
        <w:rPr>
          <w:b/>
          <w:bCs/>
          <w:i/>
          <w:iCs/>
        </w:rPr>
        <w:t xml:space="preserve">Criterio de Aceptación Clave:</w:t>
      </w:r>
      <w:r>
        <w:t xml:space="preserve"> </w:t>
      </w:r>
      <w:r>
        <w:rPr>
          <w:i/>
          <w:iCs/>
        </w:rPr>
        <w:t xml:space="preserve">La lógica debe ser probada contra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MarcoNormativo</w:t>
      </w:r>
      <w:r>
        <w:rPr>
          <w:i/>
          <w:iCs/>
        </w:rPr>
        <w:t xml:space="preserve"> </w:t>
      </w:r>
      <w:r>
        <w:rPr>
          <w:i/>
          <w:iCs/>
        </w:rPr>
        <w:t xml:space="preserve">vigente y, al menos,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MarcoNormativo</w:t>
      </w:r>
      <w:r>
        <w:rPr>
          <w:i/>
          <w:iCs/>
        </w:rPr>
        <w:t xml:space="preserve"> </w:t>
      </w:r>
      <w:r>
        <w:rPr>
          <w:i/>
          <w:iCs/>
        </w:rPr>
        <w:t xml:space="preserve">histórico relevante.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HU 4.2.2: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implementar el</w:t>
      </w:r>
      <w:r>
        <w:t xml:space="preserve"> </w:t>
      </w:r>
      <w:r>
        <w:rPr>
          <w:b/>
          <w:bCs/>
        </w:rPr>
        <w:t xml:space="preserve">orquestador de ejecución masiva</w:t>
      </w:r>
      <w:r>
        <w:t xml:space="preserve"> </w:t>
      </w:r>
      <w:r>
        <w:t xml:space="preserve">que procese todas las prestaciones activas.</w:t>
      </w:r>
      <w:r>
        <w:t xml:space="preserve"> </w:t>
      </w:r>
      <w:r>
        <w:rPr>
          <w:b/>
          <w:bCs/>
        </w:rPr>
        <w:t xml:space="preserve">[PDN: PDN-PAG-001]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HU 4.2.3: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</w:t>
      </w:r>
      <w:r>
        <w:t xml:space="preserve"> </w:t>
      </w:r>
      <w:r>
        <w:rPr>
          <w:b/>
          <w:bCs/>
        </w:rPr>
        <w:t xml:space="preserve">optimizar el rendimiento del lote de pago mensual</w:t>
      </w:r>
      <w:r>
        <w:t xml:space="preserve"> </w:t>
      </w:r>
      <w:r>
        <w:t xml:space="preserve">para cumplir con la ventana operativa.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4.3 (Fase 1):</w:t>
      </w:r>
      <w:r>
        <w:t xml:space="preserve"> </w:t>
      </w:r>
      <w:r>
        <w:t xml:space="preserve">Implementar cálculo de prorrata por concurrencia.</w:t>
      </w:r>
      <w:r>
        <w:t xml:space="preserve"> </w:t>
      </w:r>
      <w:r>
        <w:rPr>
          <w:b/>
          <w:bCs/>
        </w:rPr>
        <w:t xml:space="preserve">[PDN: PDN-FIN-001, PDN-FIN-004 | RDN: CALC-FIN-001]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4.4 (Fase 1):</w:t>
      </w:r>
      <w:r>
        <w:t xml:space="preserve"> </w:t>
      </w:r>
      <w:r>
        <w:t xml:space="preserve">Implementar cálculos de reajuste por IPC.</w:t>
      </w:r>
      <w:r>
        <w:t xml:space="preserve"> </w:t>
      </w:r>
      <w:r>
        <w:rPr>
          <w:b/>
          <w:bCs/>
        </w:rPr>
        <w:t xml:space="preserve">[PDN: PDN-PAG-004 | RDN: CALC-MANT-001]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4.5 (Fase 1):</w:t>
      </w:r>
      <w:r>
        <w:t xml:space="preserve"> </w:t>
      </w:r>
      <w:r>
        <w:t xml:space="preserve">Implementar aplicación de tope del Art. 50.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4.6 (Fase 2):</w:t>
      </w:r>
      <w:r>
        <w:t xml:space="preserve"> </w:t>
      </w:r>
      <w:r>
        <w:t xml:space="preserve">Implementar pagos especiales (aguinaldos).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4.7 (Fase 2):</w:t>
      </w:r>
      <w:r>
        <w:t xml:space="preserve"> </w:t>
      </w:r>
      <w:r>
        <w:t xml:space="preserve">Implementar reliquidaciones multi-marco.</w:t>
      </w:r>
    </w:p>
    <w:bookmarkEnd w:id="27"/>
    <w:bookmarkStart w:id="28" w:name="épica-5-integraciones-y-reportería"/>
    <w:p>
      <w:pPr>
        <w:pStyle w:val="Heading3"/>
      </w:pPr>
      <w:r>
        <w:t xml:space="preserve">Épica 5: Integraciones y Reportería</w:t>
      </w:r>
    </w:p>
    <w:p>
      <w:pPr>
        <w:pStyle w:val="FirstParagraph"/>
      </w:pPr>
      <w:r>
        <w:rPr>
          <w:i/>
          <w:iCs/>
        </w:rPr>
        <w:t xml:space="preserve">Comunicación con el ecosistema externo.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 5.1 (Fase 1):</w:t>
      </w:r>
      <w:r>
        <w:t xml:space="preserve"> </w:t>
      </w:r>
      <w:r>
        <w:t xml:space="preserve">Generar archivo de pago para Banco de Chile.</w:t>
      </w:r>
      <w:r>
        <w:t xml:space="preserve"> </w:t>
      </w:r>
      <w:r>
        <w:rPr>
          <w:b/>
          <w:bCs/>
        </w:rPr>
        <w:t xml:space="preserve">[PDN: PDN-PAG-008]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 5.2 (Fase 1):</w:t>
      </w:r>
      <w:r>
        <w:t xml:space="preserve"> </w:t>
      </w:r>
      <w:r>
        <w:t xml:space="preserve">Generar archivo de cotizaciones para PREVIRED.</w:t>
      </w:r>
      <w:r>
        <w:t xml:space="preserve"> </w:t>
      </w:r>
      <w:r>
        <w:rPr>
          <w:b/>
          <w:bCs/>
        </w:rPr>
        <w:t xml:space="preserve">[PDN: PDN-PAG-009]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 5.3 (Fase 1):</w:t>
      </w:r>
      <w:r>
        <w:t xml:space="preserve"> </w:t>
      </w:r>
      <w:r>
        <w:t xml:space="preserve">Generar comprobante contable para SAP.</w:t>
      </w:r>
      <w:r>
        <w:t xml:space="preserve"> </w:t>
      </w:r>
      <w:r>
        <w:rPr>
          <w:b/>
          <w:bCs/>
        </w:rPr>
        <w:t xml:space="preserve">[PDN: PDN-PAG-010]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 5.4 (Fase 1):</w:t>
      </w:r>
      <w:r>
        <w:t xml:space="preserve"> </w:t>
      </w:r>
      <w:r>
        <w:t xml:space="preserve">Generar reporte regulatorio GRIS para SUSESO.</w:t>
      </w:r>
      <w:r>
        <w:t xml:space="preserve"> </w:t>
      </w:r>
      <w:r>
        <w:rPr>
          <w:b/>
          <w:bCs/>
        </w:rPr>
        <w:t xml:space="preserve">[PDN: PDN-REP-004 | RDN: CALC-REP-001, MAP-REP-001]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 5.5 (Fase 1):</w:t>
      </w:r>
      <w:r>
        <w:t xml:space="preserve"> </w:t>
      </w:r>
      <w:r>
        <w:t xml:space="preserve">Implementar integración con Registro Civil.</w:t>
      </w:r>
      <w:r>
        <w:t xml:space="preserve"> </w:t>
      </w:r>
      <w:r>
        <w:rPr>
          <w:b/>
          <w:bCs/>
        </w:rPr>
        <w:t xml:space="preserve">[Habilita: PDN-MANT-001, PDN-MANT-010 | RDN: CICLO-CESE-001]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 5.6 (Fase 2):</w:t>
      </w:r>
      <w:r>
        <w:t xml:space="preserve"> </w:t>
      </w:r>
      <w:r>
        <w:t xml:space="preserve">Implementar integración automática con SIVEGAM.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 5.7 (Fase 2):</w:t>
      </w:r>
      <w:r>
        <w:t xml:space="preserve"> </w:t>
      </w:r>
      <w:r>
        <w:t xml:space="preserve">Implementar reportería regulatoria extendida.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 5.8 (Fase 2):</w:t>
      </w:r>
      <w:r>
        <w:t xml:space="preserve"> </w:t>
      </w:r>
      <w:r>
        <w:t xml:space="preserve">Implementar monitores proactivos.</w:t>
      </w:r>
      <w:r>
        <w:t xml:space="preserve"> </w:t>
      </w:r>
      <w:r>
        <w:rPr>
          <w:b/>
          <w:bCs/>
        </w:rPr>
        <w:t xml:space="preserve">[PDN: PDN-MON-* | RDN: CUMP-</w:t>
      </w:r>
      <w:r>
        <w:rPr>
          <w:b/>
          <w:bCs/>
          <w:i/>
          <w:iCs/>
        </w:rPr>
        <w:t xml:space="preserve">, COMM-</w:t>
      </w:r>
      <w:r>
        <w:rPr>
          <w:b/>
          <w:bCs/>
        </w:rPr>
        <w:t xml:space="preserve">]</w:t>
      </w:r>
    </w:p>
    <w:p>
      <w:pPr>
        <w:pStyle w:val="FirstParagraph"/>
      </w:pPr>
      <w:r>
        <w:t xml:space="preserve">(El resto de las Épicas no sufren cambios en este nivel de detalle)</w:t>
      </w:r>
    </w:p>
    <w:bookmarkEnd w:id="28"/>
    <w:bookmarkEnd w:id="29"/>
    <w:bookmarkEnd w:id="3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2025-08-12T19:14:50Z</dcterms:created>
  <dcterms:modified xsi:type="dcterms:W3CDTF">2025-08-12T19:14:50Z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