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13d2ae77ecfbead0501354344a1917efc479f5"/>
    <w:p>
      <w:pPr>
        <w:pStyle w:val="Heading3"/>
      </w:pPr>
      <w:r>
        <w:t xml:space="preserve">Alcance del sistema iSeries (según transcripción 2025-08-08)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sintetizar el alcance funcional y operativo de iSeries descrito en la reunión, alineándolo al lenguaje y artefactos del proyecto (PDN, EDN, RDN, eventos, interfaces) y a la estructura arc42 de documentación [[memoria:5838375]]. Incluye supuestos y preguntas abiertas para clarificación.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3"/>
      </w:pPr>
      <w:r>
        <w:t xml:space="preserve">Resumen ejecutivo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iSeries</w:t>
      </w:r>
      <w:r>
        <w:t xml:space="preserve"> </w:t>
      </w:r>
      <w:r>
        <w:t xml:space="preserve">opera como: (a) calculadora de pensiones iniciales y mantenedor de datos de pensiones y asignación familiar; (b) motor de automatizaciones mensuales (</w:t>
      </w:r>
      <w:r>
        <w:t xml:space="preserve">“regulariza”</w:t>
      </w:r>
      <w:r>
        <w:t xml:space="preserve">) para activar/inactivar/reactivar; (c) generador de preliquidación y archivos de pago/contables/regulatorios.</w:t>
      </w:r>
    </w:p>
    <w:p>
      <w:pPr>
        <w:pStyle w:val="Compact"/>
        <w:numPr>
          <w:ilvl w:val="0"/>
          <w:numId w:val="1001"/>
        </w:numPr>
      </w:pPr>
      <w:r>
        <w:t xml:space="preserve">Gran parte de la</w:t>
      </w:r>
      <w:r>
        <w:t xml:space="preserve"> </w:t>
      </w:r>
      <w:r>
        <w:rPr>
          <w:b/>
          <w:bCs/>
        </w:rPr>
        <w:t xml:space="preserve">gestión documental y validaciones previas</w:t>
      </w:r>
      <w:r>
        <w:t xml:space="preserve"> </w:t>
      </w:r>
      <w:r>
        <w:t xml:space="preserve">es manual y fuera del sistema (SharePoint/planillas/correos). iSeries consume “fotos” o archivos externos para ejecutar procesos.</w:t>
      </w:r>
    </w:p>
    <w:p>
      <w:pPr>
        <w:pStyle w:val="Compact"/>
        <w:numPr>
          <w:ilvl w:val="0"/>
          <w:numId w:val="1001"/>
        </w:numPr>
      </w:pPr>
      <w:r>
        <w:t xml:space="preserve">Hay procesos y cálculos que están</w:t>
      </w:r>
      <w:r>
        <w:t xml:space="preserve"> </w:t>
      </w:r>
      <w:r>
        <w:rPr>
          <w:b/>
          <w:bCs/>
        </w:rPr>
        <w:t xml:space="preserve">fuera del alcance directo</w:t>
      </w:r>
      <w:r>
        <w:t xml:space="preserve"> </w:t>
      </w:r>
      <w:r>
        <w:t xml:space="preserve">de iSeries (p. ej., cálculo de concurrencia prorrata en plataforma externa, actualización SUSESO-PIES), aunque iSeries almacena porcentajes y emite reportes para conciliación.</w:t>
      </w:r>
    </w:p>
    <w:p>
      <w:r>
        <w:pict>
          <v:rect style="width:0;height:1.5pt" o:hralign="center" o:hrstd="t" o:hr="t"/>
        </w:pict>
      </w:r>
    </w:p>
    <w:bookmarkEnd w:id="21"/>
    <w:bookmarkStart w:id="27" w:name="X000fc450b4ceab33d5fcf242d9210542ee40639"/>
    <w:p>
      <w:pPr>
        <w:pStyle w:val="Heading3"/>
      </w:pPr>
      <w:r>
        <w:t xml:space="preserve">1_dominio/ — Alcance funcional por PDN (Procesos de Negocio)</w:t>
      </w:r>
    </w:p>
    <w:bookmarkStart w:id="22" w:name="pdn-otg-constituciónotorgamiento"/>
    <w:p>
      <w:pPr>
        <w:pStyle w:val="Heading4"/>
      </w:pPr>
      <w:r>
        <w:t xml:space="preserve">PDN-OTG (Constitución/Otorgamiento)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Alcance en iSeries</w:t>
      </w:r>
      <w:r>
        <w:t xml:space="preserve">: calculadora del monto mensual y retroactivo a partir de antecedentes ingresados (6 liquidaciones previas, datos personales, AFP, etc.). Tras cálculo exitoso, el caso se enlaza a Control de Pensiones para pago mensual.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Fuera de iSeries</w:t>
      </w:r>
      <w:r>
        <w:t xml:space="preserve">: recopilación documental, memo de calificación médica, validación de Fiscalía (aprobación de derecho), liberación a pago inicial (vale vista), finiquito y firma del beneficiario.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EDN sugeridas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EDN-OTG-001-1: Recepción de antecedentes mínimos (post-aprobación Fiscalía).</w:t>
      </w:r>
    </w:p>
    <w:p>
      <w:pPr>
        <w:pStyle w:val="Compact"/>
        <w:numPr>
          <w:ilvl w:val="1"/>
          <w:numId w:val="1003"/>
        </w:numPr>
      </w:pPr>
      <w:r>
        <w:t xml:space="preserve">EDN-OTG-001-2: Cálculo pensión inicial y retroactivo.</w:t>
      </w:r>
    </w:p>
    <w:p>
      <w:pPr>
        <w:pStyle w:val="Compact"/>
        <w:numPr>
          <w:ilvl w:val="1"/>
          <w:numId w:val="1003"/>
        </w:numPr>
      </w:pPr>
      <w:r>
        <w:t xml:space="preserve">EDN-OTG-001-3: Generación de finiquito (detalle de cálculo) y pase a pago único retroactivo (fuera del motor mensual).</w:t>
      </w:r>
    </w:p>
    <w:p>
      <w:pPr>
        <w:pStyle w:val="Compact"/>
        <w:numPr>
          <w:ilvl w:val="1"/>
          <w:numId w:val="1003"/>
        </w:numPr>
      </w:pPr>
      <w:r>
        <w:t xml:space="preserve">EDN-OTG-001-4: Enlace de prestación a ciclo mensual.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RDN relevantes (ejemplos)</w:t>
      </w:r>
      <w:r>
        <w:t xml:space="preserve">: VALID-OTG-001 (suficiencia de datos), CALC-OTG-001 (sueldo base), CALC-MONTO-PENSION (monto mensual), REGLA-RETROACTIVO-INICIAL.</w:t>
      </w:r>
    </w:p>
    <w:bookmarkEnd w:id="22"/>
    <w:bookmarkStart w:id="23" w:name="X485ade5832aae03387936ebbef69d05e5f636e6"/>
    <w:p>
      <w:pPr>
        <w:pStyle w:val="Heading4"/>
      </w:pPr>
      <w:r>
        <w:t xml:space="preserve">PDN-MANT (Mantenimientos, incl. Asignación Familiar)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Alcance en iSeries</w:t>
      </w:r>
      <w:r>
        <w:t xml:space="preserve">: mantenedor de cargas familiares (ingreso/actualización/extinción),</w:t>
      </w:r>
      <w:r>
        <w:t xml:space="preserve"> </w:t>
      </w:r>
      <w:r>
        <w:rPr>
          <w:b/>
          <w:bCs/>
        </w:rPr>
        <w:t xml:space="preserve">categorización por tramos</w:t>
      </w:r>
      <w:r>
        <w:t xml:space="preserve"> </w:t>
      </w:r>
      <w:r>
        <w:t xml:space="preserve">(en base a declaraciones juradas y 630), foto/cierre de asignación familiar y preparación de pago.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Integración manual con SUSESO-PIES</w:t>
      </w:r>
      <w:r>
        <w:t xml:space="preserve">: la actualización en la base nacional de cargas no está automatizada; iSeries emite reportes para que el analista actualice manualmente.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Fechas de cierre</w:t>
      </w:r>
      <w:r>
        <w:t xml:space="preserve">: “cierre” operativo variable (p. ej., día 8; se adelanta en meses con aguinaldo), tras el cual se congela la base para pago del 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EDN sugeridas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EDN-MANT-007-1: Validación documental/certificados (manual).</w:t>
      </w:r>
    </w:p>
    <w:p>
      <w:pPr>
        <w:pStyle w:val="Compact"/>
        <w:numPr>
          <w:ilvl w:val="1"/>
          <w:numId w:val="1005"/>
        </w:numPr>
      </w:pPr>
      <w:r>
        <w:t xml:space="preserve">EDN-MANT-007-2: Ingreso/actualización de carga y tramo AF en iSeries.</w:t>
      </w:r>
    </w:p>
    <w:p>
      <w:pPr>
        <w:pStyle w:val="Compact"/>
        <w:numPr>
          <w:ilvl w:val="1"/>
          <w:numId w:val="1005"/>
        </w:numPr>
      </w:pPr>
      <w:r>
        <w:t xml:space="preserve">EDN-MANT-007-3: Cierre de AF (foto del mes) y bloqueo de cambios para el periodo.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RDN relevantes (ejemplos)</w:t>
      </w:r>
      <w:r>
        <w:t xml:space="preserve">: CUMP-ASIGFAM-001 (requisitos por tipo de causante), CALC-TRAMO-AF, VALID-CERT-ESTUDIOS.</w:t>
      </w:r>
    </w:p>
    <w:bookmarkEnd w:id="23"/>
    <w:bookmarkStart w:id="24" w:name="X42cbe28dedb3e6eb12725dcfcc41fe41cf34bc4"/>
    <w:p>
      <w:pPr>
        <w:pStyle w:val="Heading4"/>
      </w:pPr>
      <w:r>
        <w:t xml:space="preserve">PDN-PAG (Control de Pensiones — ciclo mensual)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Alcance en iSeries</w:t>
      </w:r>
      <w:r>
        <w:t xml:space="preserve">: automatizaciones “regulariza”, cálculo de liquidaciones (días/haberes/descuentos), preliquidación, generación de archivos a banco, PREVIRED, contabilidad (SAP), reportes regulatorios (GRIS SUSESO) y pagos a terceros (extranjeros vía Tesorería/Western Union).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Regulariza (backend, automático)</w:t>
      </w:r>
      <w:r>
        <w:t xml:space="preserve">: inactivaciones/reactivaciones por reglas de edad, estado civil, estudios, fallecimiento, pensión mínima, conversión a vitalicia al cumplir condiciones (viudez con hijos), etc. Genera PDFs/logs por cada subproceso.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Cálculo</w:t>
      </w:r>
      <w:r>
        <w:t xml:space="preserve">: prorrata por días (cese o cumplimiento de edad), haberes (PGU, bonos), descuentos (salud, previsión, préstamos Fonasa, CCAF), retroactivos imponibles y líquidos, reajuste por IPC (anual o al superar 10% acumulado), tope Art. 50 (no exceder 100% suma de beneficiarios).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EDN principales (ejemplo)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EDN-PAG-003-1: Cargar insumos externos (Registro Civil, IPS/PGU, Fonasa, CCAF, etc.).</w:t>
      </w:r>
    </w:p>
    <w:p>
      <w:pPr>
        <w:pStyle w:val="Compact"/>
        <w:numPr>
          <w:ilvl w:val="1"/>
          <w:numId w:val="1007"/>
        </w:numPr>
      </w:pPr>
      <w:r>
        <w:t xml:space="preserve">EDN-PAG-003-2: Regulariza (activar/inactivar/categorizar según reglas).</w:t>
      </w:r>
    </w:p>
    <w:p>
      <w:pPr>
        <w:pStyle w:val="Compact"/>
        <w:numPr>
          <w:ilvl w:val="1"/>
          <w:numId w:val="1007"/>
        </w:numPr>
      </w:pPr>
      <w:r>
        <w:t xml:space="preserve">EDN-PAG-003-3: Calcular liquidaciones y retroactivos; aplicar prorratas y topes.</w:t>
      </w:r>
    </w:p>
    <w:p>
      <w:pPr>
        <w:pStyle w:val="Compact"/>
        <w:numPr>
          <w:ilvl w:val="1"/>
          <w:numId w:val="1007"/>
        </w:numPr>
      </w:pPr>
      <w:r>
        <w:t xml:space="preserve">EDN-PAG-003-4: Preliquidación y revisión.</w:t>
      </w:r>
    </w:p>
    <w:p>
      <w:pPr>
        <w:pStyle w:val="Compact"/>
        <w:numPr>
          <w:ilvl w:val="1"/>
          <w:numId w:val="1007"/>
        </w:numPr>
      </w:pPr>
      <w:r>
        <w:t xml:space="preserve">EDN-PAG-003-5: Generar archivos de salida (banco, PREVIRED, SAP, GRIS, terceros) y evidencias.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RDN relevantes (ejemplos)</w:t>
      </w:r>
      <w:r>
        <w:t xml:space="preserve">: CUMP-EDAD-65/60 (cese invalidez por edad), CUMP-EDAD-24 (orfandad), CUMP-NUPCIAS (viudez), CALC-DIAS-MES, CALC-PRORRATA-CONCURRENCIA, CALC-PGU, CALC-AGUINALDO, CALC-REAJUSTE-IPC, TOP-ART-50.</w:t>
      </w:r>
    </w:p>
    <w:bookmarkEnd w:id="24"/>
    <w:bookmarkStart w:id="25" w:name="Xc9de5a59ff473d7d3abc2a43eb2cb7b7e4d2600"/>
    <w:p>
      <w:pPr>
        <w:pStyle w:val="Heading4"/>
      </w:pPr>
      <w:r>
        <w:t xml:space="preserve">PDN-FIN (Concurrencia/prorrata entre pagadores)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Fuera de iSeries</w:t>
      </w:r>
      <w:r>
        <w:t xml:space="preserve">: cálculo de concurrencias (porcentajes por Mutual/IPS/ACHs) lo realiza una plataforma externa.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 iSeries</w:t>
      </w:r>
      <w:r>
        <w:t xml:space="preserve">: carga/almacenamiento de porcentajes por pensión y generación trimestral del</w:t>
      </w:r>
      <w:r>
        <w:t xml:space="preserve"> </w:t>
      </w:r>
      <w:r>
        <w:rPr>
          <w:b/>
          <w:bCs/>
        </w:rPr>
        <w:t xml:space="preserve">Detalle de Cobro de Concurrencia</w:t>
      </w:r>
      <w:r>
        <w:t xml:space="preserve"> </w:t>
      </w:r>
      <w:r>
        <w:t xml:space="preserve">para conciliación y recuperación de fondos.</w:t>
      </w:r>
    </w:p>
    <w:bookmarkEnd w:id="25"/>
    <w:bookmarkStart w:id="26" w:name="pdn-rep-reportes-obligatorios"/>
    <w:p>
      <w:pPr>
        <w:pStyle w:val="Heading4"/>
      </w:pPr>
      <w:r>
        <w:t xml:space="preserve">PDN-REP (Reportes obligatorios)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 iSeries</w:t>
      </w:r>
      <w:r>
        <w:t xml:space="preserve">: generación de GRIS SUSESO (estándar común), capitales vigentes, reportes de conciliación y contabilización PRP para SAP.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rquitectura-límites-bloques-y-eventos"/>
    <w:p>
      <w:pPr>
        <w:pStyle w:val="Heading3"/>
      </w:pPr>
      <w:r>
        <w:t xml:space="preserve">2_arquitectura/ — Límites, bloques y eventos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Dentro del sistema (alcance iSeries)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Calculadoras (pensiones, prorratas, haberes/descuentos), mantenedores (pensiones, cargas, cobrantes/retenciones), motor de automatizaciones (regulariza), generadores de archivos (banco, PREVIRED, SAP, GRIS) y evidencias PDF.</w:t>
      </w:r>
    </w:p>
    <w:p>
      <w:pPr>
        <w:pStyle w:val="Compact"/>
        <w:numPr>
          <w:ilvl w:val="1"/>
          <w:numId w:val="1011"/>
        </w:numPr>
      </w:pPr>
      <w:r>
        <w:t xml:space="preserve">Control de “cierre” por periodo: una vez cerrado, cambios quedan para el mes siguiente.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Fuera del sistema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Gestión documental y aprobaciones (Fiscalía, finiquitos), actualizaciones en SUSESO-PIES, cálculo de concurrencia, y algunos pagos a terceros operados por Tesorería.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Eventos de negocio recomendados (para el sistema objetivo)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pension:otorgada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pension:inactivada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pension:reactivada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carga:ingresada/actualizada/extinguida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estado_civil:cambiado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fallecimiento:detectado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pgu:aplicada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preliquidacion:generada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archivo_banco:generado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archivo_previred:generado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reporte_gris:generado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detalle_concurrencia:generado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Publicación confiable vía outbox e idempotencia; correlación con</w:t>
      </w:r>
      <w:r>
        <w:t xml:space="preserve"> </w:t>
      </w:r>
      <w:r>
        <w:rPr>
          <w:rStyle w:val="VerbatimChar"/>
        </w:rPr>
        <w:t xml:space="preserve">marcoNormativoId</w:t>
      </w:r>
      <w:r>
        <w:t xml:space="preserve"> </w:t>
      </w:r>
      <w:r>
        <w:t xml:space="preserve">y periodo.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Decisiones operativas clave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Idempotencia/re-ejecución de lotes (preliquidación puede reevaluarse); bloqueos tras cierre; auditoría por PDF/logs.</w:t>
      </w:r>
    </w:p>
    <w:p>
      <w:pPr>
        <w:pStyle w:val="Compact"/>
        <w:numPr>
          <w:ilvl w:val="1"/>
          <w:numId w:val="1014"/>
        </w:numPr>
      </w:pPr>
      <w:r>
        <w:t xml:space="preserve">Reglas con “excepciones por dictamen” requieren bypass controlado y trazable (gobernanza de excepciones).</w:t>
      </w:r>
    </w:p>
    <w:p>
      <w:r>
        <w:pict>
          <v:rect style="width:0;height:1.5pt" o:hralign="center" o:hrstd="t" o:hr="t"/>
        </w:pict>
      </w:r>
    </w:p>
    <w:bookmarkEnd w:id="28"/>
    <w:bookmarkStart w:id="32" w:name="X1195f4c72ae5ed9bf6379c96ed76fb65599d35e"/>
    <w:p>
      <w:pPr>
        <w:pStyle w:val="Heading3"/>
      </w:pPr>
      <w:r>
        <w:t xml:space="preserve">3_especificacion_tecnica/ — Interfaces y flujo de datos</w:t>
      </w:r>
    </w:p>
    <w:bookmarkStart w:id="29" w:name="entradas-cargaconsulta"/>
    <w:p>
      <w:pPr>
        <w:pStyle w:val="Heading4"/>
      </w:pPr>
      <w:r>
        <w:t xml:space="preserve">Entradas (carga/consulta)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Registro Civil</w:t>
      </w:r>
      <w:r>
        <w:t xml:space="preserve">: consulta masiva vía archivo plano (contrato predefinido). Devuelve datos básicos y flags (fallecimiento, estado civil: S/C/U). Frecuencia: mensual (o según operación).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IPS/PGU</w:t>
      </w:r>
      <w:r>
        <w:t xml:space="preserve">: archivo(s) para determinar PGU, aguinaldos (Navidad/Fiestas Patrias) y bono invierno. Se cargan a tablas temporales y se aplican en cálculo.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Fonasa/CCAF</w:t>
      </w:r>
      <w:r>
        <w:t xml:space="preserve">: archivos para préstamos/créditos y descuentos asociados.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Suceso/PIES (cargas familiares)</w:t>
      </w:r>
      <w:r>
        <w:t xml:space="preserve">: no integrado; iSeries emite reportes de cambios para actualización manual.</w:t>
      </w:r>
    </w:p>
    <w:bookmarkEnd w:id="29"/>
    <w:bookmarkStart w:id="30" w:name="salidas"/>
    <w:p>
      <w:pPr>
        <w:pStyle w:val="Heading4"/>
      </w:pPr>
      <w:r>
        <w:t xml:space="preserve">Salidas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Banco de Chile</w:t>
      </w:r>
      <w:r>
        <w:t xml:space="preserve">: archivo de pago. Estructura indicada: al menos 3 líneas por pensionado (resumen, haberes, descuentos).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PREVIRED</w:t>
      </w:r>
      <w:r>
        <w:t xml:space="preserve">: archivo de cotizaciones previsionales.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SAP (contabilización PRP)</w:t>
      </w:r>
      <w:r>
        <w:t xml:space="preserve">: comprobante contable en formato plano, cargado por contabilidad.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GRIS SUSESO</w:t>
      </w:r>
      <w:r>
        <w:t xml:space="preserve">: reporte regulatorio con ~50 campos estándar.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Pagos a terceros (extranjero)</w:t>
      </w:r>
      <w:r>
        <w:t xml:space="preserve">: archivo a Tesorería/Western Union para pagos en el exterior.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Detalle de Cobro de Concurrencia</w:t>
      </w:r>
      <w:r>
        <w:t xml:space="preserve">: archivo trimestral para conciliación con otras mutualidades/IPS.</w:t>
      </w:r>
    </w:p>
    <w:bookmarkEnd w:id="30"/>
    <w:bookmarkStart w:id="31" w:name="operación-y-ventanas"/>
    <w:p>
      <w:pPr>
        <w:pStyle w:val="Heading4"/>
      </w:pPr>
      <w:r>
        <w:t xml:space="preserve">Operación y ventanas</w:t>
      </w:r>
    </w:p>
    <w:p>
      <w:pPr>
        <w:pStyle w:val="Compact"/>
        <w:numPr>
          <w:ilvl w:val="0"/>
          <w:numId w:val="1017"/>
        </w:numPr>
      </w:pPr>
      <w:r>
        <w:t xml:space="preserve">“Cierre” operativo (AF y pagos) con fecha variable por mes (p. ej., día 5–8; se adelanta en meses con aguinaldo). Cambios post-cierre quedan para el siguiente periodo.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Regulariza</w:t>
      </w:r>
      <w:r>
        <w:t xml:space="preserve"> </w:t>
      </w:r>
      <w:r>
        <w:t xml:space="preserve">se ejecuta por horas y emite PDFs de auditoría por subproceso.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upuestos-y-elementos-no-concluyentes"/>
    <w:p>
      <w:pPr>
        <w:pStyle w:val="Heading3"/>
      </w:pPr>
      <w:r>
        <w:t xml:space="preserve">Supuestos y elementos no concluyentes</w:t>
      </w:r>
    </w:p>
    <w:p>
      <w:pPr>
        <w:pStyle w:val="Compact"/>
        <w:numPr>
          <w:ilvl w:val="0"/>
          <w:numId w:val="1018"/>
        </w:numPr>
      </w:pPr>
      <w:r>
        <w:t xml:space="preserve">Nombres exactos y contratos de archivos (campos, separadores, codificación). En particular, si los CSV usan</w:t>
      </w:r>
      <w:r>
        <w:t xml:space="preserve"> </w:t>
      </w:r>
      <w:r>
        <w:rPr>
          <w:b/>
          <w:bCs/>
        </w:rPr>
        <w:t xml:space="preserve">coma como separador decimal</w:t>
      </w:r>
      <w:r>
        <w:t xml:space="preserve"> </w:t>
      </w:r>
      <w:r>
        <w:t xml:space="preserve">en ciertos feeds.</w:t>
      </w:r>
    </w:p>
    <w:p>
      <w:pPr>
        <w:pStyle w:val="Compact"/>
        <w:numPr>
          <w:ilvl w:val="0"/>
          <w:numId w:val="1018"/>
        </w:numPr>
      </w:pPr>
      <w:r>
        <w:t xml:space="preserve">Identidad exacta del sistema SUSESO (mencionado como “Programa PIES”) y especificación de sus web services.</w:t>
      </w:r>
    </w:p>
    <w:p>
      <w:pPr>
        <w:pStyle w:val="Compact"/>
        <w:numPr>
          <w:ilvl w:val="0"/>
          <w:numId w:val="1018"/>
        </w:numPr>
      </w:pPr>
      <w:r>
        <w:t xml:space="preserve">Detalle de protocolos y endpoints (SFTP/HTTPS) y credenciales operativas por integración (hoy gestionadas por analistas).</w:t>
      </w:r>
    </w:p>
    <w:p>
      <w:pPr>
        <w:pStyle w:val="Compact"/>
        <w:numPr>
          <w:ilvl w:val="0"/>
          <w:numId w:val="1018"/>
        </w:numPr>
      </w:pPr>
      <w:r>
        <w:t xml:space="preserve">Reglas precisas para topes, redondeos y secuencia de aplicación de haberes/descuentos (p. ej., PGU vs. mínimos, Art. 50).</w:t>
      </w:r>
    </w:p>
    <w:p>
      <w:pPr>
        <w:pStyle w:val="Compact"/>
        <w:numPr>
          <w:ilvl w:val="0"/>
          <w:numId w:val="1018"/>
        </w:numPr>
      </w:pPr>
      <w:r>
        <w:t xml:space="preserve">Calendario formal de cierres por mes, ventanas de preliquidación y SLA de re-ejecución.</w:t>
      </w:r>
    </w:p>
    <w:p>
      <w:pPr>
        <w:pStyle w:val="Compact"/>
        <w:numPr>
          <w:ilvl w:val="0"/>
          <w:numId w:val="1018"/>
        </w:numPr>
      </w:pPr>
      <w:r>
        <w:t xml:space="preserve">Criterios y flujo de aprobación para</w:t>
      </w:r>
      <w:r>
        <w:t xml:space="preserve"> </w:t>
      </w:r>
      <w:r>
        <w:rPr>
          <w:b/>
          <w:bCs/>
        </w:rPr>
        <w:t xml:space="preserve">excepciones por dictamen</w:t>
      </w:r>
      <w:r>
        <w:t xml:space="preserve"> </w:t>
      </w:r>
      <w:r>
        <w:t xml:space="preserve">(bypass manual) y su auditoría.</w:t>
      </w:r>
    </w:p>
    <w:p>
      <w:pPr>
        <w:pStyle w:val="Compact"/>
        <w:numPr>
          <w:ilvl w:val="0"/>
          <w:numId w:val="1018"/>
        </w:numPr>
      </w:pPr>
      <w:r>
        <w:t xml:space="preserve">Especificación de concurrencia: calendario de corte trimestral, formato de archivo y llaves para conciliación.</w:t>
      </w:r>
    </w:p>
    <w:p>
      <w:r>
        <w:pict>
          <v:rect style="width:0;height:1.5pt" o:hralign="center" o:hrstd="t" o:hr="t"/>
        </w:pict>
      </w:r>
    </w:p>
    <w:bookmarkEnd w:id="33"/>
    <w:bookmarkStart w:id="34" w:name="preguntas-para-el-negocio-clarificación"/>
    <w:p>
      <w:pPr>
        <w:pStyle w:val="Heading3"/>
      </w:pPr>
      <w:r>
        <w:t xml:space="preserve">Preguntas para el negocio (clarificación)</w:t>
      </w:r>
    </w:p>
    <w:p>
      <w:pPr>
        <w:pStyle w:val="Compact"/>
        <w:numPr>
          <w:ilvl w:val="0"/>
          <w:numId w:val="1019"/>
        </w:numPr>
      </w:pPr>
      <w:r>
        <w:t xml:space="preserve">¿Cuál es el contrato exacto (layout, separadores, codificación) de los archivos con Registro Civil, IPS/PGU, Fonasa, CCAF, PREVIRED, SAP y Banco? ¿Usan coma como separador decimal cuando aplica?</w:t>
      </w:r>
    </w:p>
    <w:p>
      <w:pPr>
        <w:pStyle w:val="Compact"/>
        <w:numPr>
          <w:ilvl w:val="0"/>
          <w:numId w:val="1019"/>
        </w:numPr>
      </w:pPr>
      <w:r>
        <w:t xml:space="preserve">¿Cuál es la denominación y especificación oficial del sistema SUSESO para cargas (PIES u otro)? ¿Existen web services habilitados para automatizar altas/bajas/actualizaciones?</w:t>
      </w:r>
    </w:p>
    <w:p>
      <w:pPr>
        <w:pStyle w:val="Compact"/>
        <w:numPr>
          <w:ilvl w:val="0"/>
          <w:numId w:val="1019"/>
        </w:numPr>
      </w:pPr>
      <w:r>
        <w:t xml:space="preserve">¿Cuál es el calendario formal de cierres por mes (AF y Pagos) y los criterios para adelantos (aguinaldos/feriados)?</w:t>
      </w:r>
    </w:p>
    <w:p>
      <w:pPr>
        <w:pStyle w:val="Compact"/>
        <w:numPr>
          <w:ilvl w:val="0"/>
          <w:numId w:val="1019"/>
        </w:numPr>
      </w:pPr>
      <w:r>
        <w:t xml:space="preserve">¿Cuál es la política de re-ejecución de</w:t>
      </w:r>
      <w:r>
        <w:t xml:space="preserve"> </w:t>
      </w:r>
      <w:r>
        <w:rPr>
          <w:rStyle w:val="VerbatimChar"/>
        </w:rPr>
        <w:t xml:space="preserve">regulariza</w:t>
      </w:r>
      <w:r>
        <w:t xml:space="preserve"> </w:t>
      </w:r>
      <w:r>
        <w:t xml:space="preserve">y preliquidaciones? ¿Qué condiciones disparan una re-ejecución y cómo se versionan evidencias?</w:t>
      </w:r>
    </w:p>
    <w:p>
      <w:pPr>
        <w:pStyle w:val="Compact"/>
        <w:numPr>
          <w:ilvl w:val="0"/>
          <w:numId w:val="1019"/>
        </w:numPr>
      </w:pPr>
      <w:r>
        <w:t xml:space="preserve">Para el tope del</w:t>
      </w:r>
      <w:r>
        <w:t xml:space="preserve"> </w:t>
      </w:r>
      <w:r>
        <w:rPr>
          <w:b/>
          <w:bCs/>
        </w:rPr>
        <w:t xml:space="preserve">Art. 50</w:t>
      </w:r>
      <w:r>
        <w:t xml:space="preserve">, ¿qué redondeos se aplican y en qué orden respecto de otros haberes (PGU) y descuentos?</w:t>
      </w:r>
    </w:p>
    <w:p>
      <w:pPr>
        <w:pStyle w:val="Compact"/>
        <w:numPr>
          <w:ilvl w:val="0"/>
          <w:numId w:val="1019"/>
        </w:numPr>
      </w:pPr>
      <w:r>
        <w:t xml:space="preserve">¿Cuáles son las claves de idempotencia y llaves de conciliación esperadas por Banco de Chile, PREVIRED, SAP y SUSESO (GRIS)?</w:t>
      </w:r>
    </w:p>
    <w:p>
      <w:pPr>
        <w:pStyle w:val="Compact"/>
        <w:numPr>
          <w:ilvl w:val="0"/>
          <w:numId w:val="1019"/>
        </w:numPr>
      </w:pPr>
      <w:r>
        <w:t xml:space="preserve">¿Cómo es el flujo y las aprobaciones para</w:t>
      </w:r>
      <w:r>
        <w:t xml:space="preserve"> </w:t>
      </w:r>
      <w:r>
        <w:rPr>
          <w:b/>
          <w:bCs/>
        </w:rPr>
        <w:t xml:space="preserve">excepciones por dictamen</w:t>
      </w:r>
      <w:r>
        <w:t xml:space="preserve"> </w:t>
      </w:r>
      <w:r>
        <w:t xml:space="preserve">(por ejemplo, viudas a vitalicia fuera de regla)? ¿Qué roles aprueban y qué evidencias se deben custodiar?</w:t>
      </w:r>
    </w:p>
    <w:p>
      <w:pPr>
        <w:pStyle w:val="Compact"/>
        <w:numPr>
          <w:ilvl w:val="0"/>
          <w:numId w:val="1019"/>
        </w:numPr>
      </w:pPr>
      <w:r>
        <w:t xml:space="preserve">¿Cuál es el proceso exacto y el layout del</w:t>
      </w:r>
      <w:r>
        <w:t xml:space="preserve"> </w:t>
      </w:r>
      <w:r>
        <w:rPr>
          <w:b/>
          <w:bCs/>
        </w:rPr>
        <w:t xml:space="preserve">Detalle de Cobro de Concurrencia</w:t>
      </w:r>
      <w:r>
        <w:t xml:space="preserve"> </w:t>
      </w:r>
      <w:r>
        <w:t xml:space="preserve">(frecuencia, llaves por pensión, periodo de cálculo)?</w:t>
      </w:r>
    </w:p>
    <w:p>
      <w:pPr>
        <w:pStyle w:val="Compact"/>
        <w:numPr>
          <w:ilvl w:val="0"/>
          <w:numId w:val="1019"/>
        </w:numPr>
      </w:pPr>
      <w:r>
        <w:t xml:space="preserve">¿Qué modalidad exacta se usa para pagos a terceros en el extranjero (Tesorería/Western Union): formato, frecuencia y llaves de trazabilidad?</w:t>
      </w:r>
    </w:p>
    <w:p>
      <w:pPr>
        <w:pStyle w:val="Compact"/>
        <w:numPr>
          <w:ilvl w:val="0"/>
          <w:numId w:val="1019"/>
        </w:numPr>
      </w:pPr>
      <w:r>
        <w:t xml:space="preserve">¿Hay metas operativas (SLA/SLO) de lag de insumos externos, tiempo de cálculo por lote y tiempos de cierre/entrega a bancos y SUSESO?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Notas</w:t>
      </w:r>
      <w:r>
        <w:t xml:space="preserve">: Este documento resume la transcripción y mapea al marco PDN/EDN/RDN del proyecto. Donde la transcripción fue ambigua, se consignaron supuestos y preguntas para cierre con negocio.</w:t>
      </w:r>
    </w:p>
    <w:bookmarkEnd w:id="34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2025-08-12T23:04:57Z</dcterms:created>
  <dcterms:modified xsi:type="dcterms:W3CDTF">2025-08-12T23:04:57Z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