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bc6f958a0c60a2701121c97849fcd1a1342881"/>
    <w:p>
      <w:pPr>
        <w:pStyle w:val="Heading3"/>
      </w:pPr>
      <w:r>
        <w:rPr>
          <w:b/>
          <w:bCs/>
        </w:rPr>
        <w:t xml:space="preserve">Resumen del Plan de Desarrollo (Alternativa 2: Por Capacidades de Negocio)</w:t>
      </w:r>
    </w:p>
    <w:bookmarkStart w:id="20" w:name="introducción-y-enfoque"/>
    <w:p>
      <w:pPr>
        <w:pStyle w:val="Heading4"/>
      </w:pPr>
      <w:r>
        <w:rPr>
          <w:b/>
          <w:bCs/>
        </w:rPr>
        <w:t xml:space="preserve">1. Introducción y Enfoque</w:t>
      </w:r>
    </w:p>
    <w:p>
      <w:pPr>
        <w:pStyle w:val="FirstParagraph"/>
      </w:pPr>
      <w:r>
        <w:t xml:space="preserve">Este documento presenta el plan para desarrollar el sistema PEC2, cuyo primer objetivo es reemplazar la funcionalidad del sistema iSeries.</w:t>
      </w:r>
    </w:p>
    <w:p>
      <w:pPr>
        <w:pStyle w:val="BodyText"/>
      </w:pPr>
      <w:r>
        <w:t xml:space="preserve">El plan organiza el trabajo en</w:t>
      </w:r>
      <w:r>
        <w:t xml:space="preserve"> </w:t>
      </w:r>
      <w:r>
        <w:rPr>
          <w:b/>
          <w:bCs/>
        </w:rPr>
        <w:t xml:space="preserve">Capacidades de Negocio</w:t>
      </w:r>
      <w:r>
        <w:t xml:space="preserve"> </w:t>
      </w:r>
      <w:r>
        <w:t xml:space="preserve">(representadas por Épicas), dentro de las cuales se prioriza un conjunto de funcionalidades para un</w:t>
      </w:r>
      <w:r>
        <w:t xml:space="preserve"> </w:t>
      </w:r>
      <w:r>
        <w:rPr>
          <w:b/>
          <w:bCs/>
        </w:rPr>
        <w:t xml:space="preserve">Release 1 (R1)</w:t>
      </w:r>
      <w:r>
        <w:t xml:space="preserve">, dejando las capacidades avanzadas del MDLO para un</w:t>
      </w:r>
      <w:r>
        <w:t xml:space="preserve"> </w:t>
      </w:r>
      <w:r>
        <w:rPr>
          <w:b/>
          <w:bCs/>
        </w:rPr>
        <w:t xml:space="preserve">Release 2 (R2)</w:t>
      </w:r>
      <w:r>
        <w:t xml:space="preserve">.</w:t>
      </w:r>
    </w:p>
    <w:p>
      <w:pPr>
        <w:pStyle w:val="BodyText"/>
      </w:pPr>
      <w:r>
        <w:t xml:space="preserve">La estrategia de priorización inicial dentro del R1 se denomina</w:t>
      </w:r>
      <w:r>
        <w:t xml:space="preserve"> </w:t>
      </w:r>
      <w:r>
        <w:rPr>
          <w:b/>
          <w:bCs/>
        </w:rPr>
        <w:t xml:space="preserve">“Camino Feliz”</w:t>
      </w:r>
      <w:r>
        <w:t xml:space="preserve">: se enfoca en construir primero un hilo de funcionalidad completo, aunque simple (otorgamiento y pago básico), para mitigar riesgos y demostrar valor tempranamente.</w:t>
      </w:r>
    </w:p>
    <w:p>
      <w:pPr>
        <w:pStyle w:val="BodyText"/>
      </w:pPr>
      <w:r>
        <w:t xml:space="preserve">Los principios técnicos del nuevo sistema son la</w:t>
      </w:r>
      <w:r>
        <w:t xml:space="preserve"> </w:t>
      </w:r>
      <w:r>
        <w:rPr>
          <w:b/>
          <w:bCs/>
        </w:rPr>
        <w:t xml:space="preserve">auditabilidad, la trazabilidad y la correcta aplicación de la normativa vigente</w:t>
      </w:r>
      <w:r>
        <w:t xml:space="preserve">, anclando cada cálculo a un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específico.</w:t>
      </w:r>
    </w:p>
    <w:bookmarkEnd w:id="20"/>
    <w:bookmarkStart w:id="21" w:name="releases-del-proyecto"/>
    <w:p>
      <w:pPr>
        <w:pStyle w:val="Heading4"/>
      </w:pPr>
      <w:r>
        <w:rPr>
          <w:b/>
          <w:bCs/>
        </w:rPr>
        <w:t xml:space="preserve">2. Releases del Proyecto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 1 (R1): Núcleo Operativo y Paridad con iSeries: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las funcionalidades críticas para la operación mensual, alcanzar la paridad con iSeries y habilitar su decomisionamiento. Esto incluye el</w:t>
      </w:r>
      <w:r>
        <w:t xml:space="preserve"> </w:t>
      </w:r>
      <w:r>
        <w:t xml:space="preserve">“camino feliz”</w:t>
      </w:r>
      <w:r>
        <w:t xml:space="preserve"> </w:t>
      </w:r>
      <w:r>
        <w:t xml:space="preserve">de otorgamiento y pago, las integraciones esenciales y una interfaz de usuario funcional para los analistas.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 2 (R2): Evolución y Cobertura Total del Dominio: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Una vez reemplazado iSeries, implementar las capacidades avanzadas definidas en el MDLO para transformar y optimizar la operación, como reliquidaciones, gestión de concurrencia y monitores proactivos.</w:t>
      </w:r>
    </w:p>
    <w:p>
      <w:r>
        <w:pict>
          <v:rect style="width:0;height:1.5pt" o:hralign="center" o:hrstd="t" o:hr="t"/>
        </w:pict>
      </w:r>
    </w:p>
    <w:bookmarkEnd w:id="21"/>
    <w:bookmarkStart w:id="22" w:name="roadmap-de-releases-por-épicas"/>
    <w:p>
      <w:pPr>
        <w:pStyle w:val="Heading4"/>
      </w:pPr>
      <w:r>
        <w:rPr>
          <w:b/>
          <w:bCs/>
        </w:rPr>
        <w:t xml:space="preserve">3. Roadmap de Releases por Épicas</w:t>
      </w:r>
    </w:p>
    <w:p>
      <w:pPr>
        <w:pStyle w:val="FirstParagraph"/>
      </w:pPr>
      <w:r>
        <w:t xml:space="preserve">El trabajo se estructura en torno a la construcción de capacidades de negocio. Las primeras dos son prerrequisitos técnicos y de dominio para el R1.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Épica 1: Fundamentos Técnicos y Herramientas (R1)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Establecer la infraestructura de código, el pipeline de CI/CD, los patrones transversales (auditoría, idempotencia) y las herramientas de scaffolding.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equipo cuenta con un entorno de desarrollo robusto y automatizado.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Épica 2: Modelo de Datos y Gobierno Normativo (R1)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el esquema de la base de datos y los servicios para gobernar la normativa (</w:t>
      </w:r>
      <w:r>
        <w:rPr>
          <w:rStyle w:val="VerbatimChar"/>
        </w:rPr>
        <w:t xml:space="preserve">FrameworkResolverService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tiene una base de datos y una lógica normativa robustas.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Épica 3: Otorgamiento y Mantenimiento (R1/R2)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la capacidad para crear y gestionar el ciclo de vida de las prestaciones.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Alcance R1:</w:t>
      </w:r>
      <w:r>
        <w:t xml:space="preserve"> </w:t>
      </w:r>
      <w:r>
        <w:t xml:space="preserve">Otorgamiento simple, gestión de cargas familiares y mantenimientos críticos.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puede crear y gestionar los estados básicos de un beneficio.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Épica 4: Ciclo de Pago Mensual (R1/R2)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Construir el motor financiero del sistema.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Alcance R1:</w:t>
      </w:r>
      <w:r>
        <w:t xml:space="preserve"> </w:t>
      </w:r>
      <w:r>
        <w:t xml:space="preserve">Orquestador de pagos, motor de cálculo de liquidaciones, reajustes y topes legales.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puede calcular una liquidación mensual completa.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Épica 5: Integraciones y Reportería (R1/R2)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Establecer la comunicación con los sistemas externos clave.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Alcance R1:</w:t>
      </w:r>
      <w:r>
        <w:t xml:space="preserve"> </w:t>
      </w:r>
      <w:r>
        <w:t xml:space="preserve">Archivos de pago (Banco), cotizaciones (PREVIRED), contabilidad (SAP), informe GRIS (SUSESO) e integración con Registro Civil.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genera los artefactos de salida para la operación mensual.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Épica 11: Interfaz de Usuario (Frontend) (R1/R2)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Construir un portal funcional y usable para los analistas.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Alcance R1:</w:t>
      </w:r>
      <w:r>
        <w:t xml:space="preserve"> </w:t>
      </w:r>
      <w:r>
        <w:t xml:space="preserve">Prototipado y construcción de las pantallas clave para el</w:t>
      </w:r>
      <w:r>
        <w:t xml:space="preserve"> </w:t>
      </w:r>
      <w:r>
        <w:t xml:space="preserve">“camino feliz”</w:t>
      </w:r>
      <w:r>
        <w:t xml:space="preserve"> </w:t>
      </w:r>
      <w:r>
        <w:t xml:space="preserve">(Bandeja de Tareas, Ficha de Persona, etc.).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Los analistas pueden operar los flujos de negocio del R1 a través de una interfaz gráfica.</w:t>
      </w:r>
    </w:p>
    <w:p>
      <w:r>
        <w:pict>
          <v:rect style="width:0;height:1.5pt" o:hralign="center" o:hrstd="t" o:hr="t"/>
        </w:pict>
      </w:r>
    </w:p>
    <w:bookmarkEnd w:id="22"/>
    <w:bookmarkStart w:id="23" w:name="análisis-de-cobertura-y-siguientes-pasos"/>
    <w:p>
      <w:pPr>
        <w:pStyle w:val="Heading4"/>
      </w:pPr>
      <w:r>
        <w:rPr>
          <w:b/>
          <w:bCs/>
        </w:rPr>
        <w:t xml:space="preserve">4. Análisis de Cobertura y Siguientes Pasos</w:t>
      </w:r>
    </w:p>
    <w:p>
      <w:pPr>
        <w:pStyle w:val="FirstParagraph"/>
      </w:pPr>
      <w:r>
        <w:rPr>
          <w:b/>
          <w:bCs/>
        </w:rPr>
        <w:t xml:space="preserve">Funcionalidades Cubiertas por Release 1 (R1):</w:t>
      </w:r>
      <w:r>
        <w:t xml:space="preserve"> </w:t>
      </w:r>
      <w:r>
        <w:t xml:space="preserve">El R1 cubre las funcionalidades esenciales de Otorgamiento, Pagos e Integraciones para alcanzar la paridad operativa con iSeries, junto con una UI funcional y los fundamentos técnicos y de dominio necesarios para soportar la operación.</w:t>
      </w:r>
    </w:p>
    <w:p>
      <w:pPr>
        <w:pStyle w:val="BodyText"/>
      </w:pPr>
      <w:r>
        <w:rPr>
          <w:b/>
          <w:bCs/>
        </w:rPr>
        <w:t xml:space="preserve">Funcionalidades Postergadas a Release 2 (R2):</w:t>
      </w:r>
      <w:r>
        <w:t xml:space="preserve"> </w:t>
      </w:r>
      <w:r>
        <w:t xml:space="preserve">* Procesos de otorgamiento y mantenimiento avanzados (pensiones transitorias, revisiones por agravamiento, gestión de deudas).</w:t>
      </w:r>
      <w:r>
        <w:t xml:space="preserve"> </w:t>
      </w:r>
      <w:r>
        <w:t xml:space="preserve">* Procesos de corrección y reliquidación multi-marco.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Gestión Financiera avanzada</w:t>
      </w:r>
      <w:r>
        <w:t xml:space="preserve">, incluyendo el ciclo completo de concurrencia con otras entidades.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Monitoreo Proactivo y Notificaciones Regulatorias</w:t>
      </w:r>
      <w:r>
        <w:t xml:space="preserve"> </w:t>
      </w:r>
      <w:r>
        <w:t xml:space="preserve">específicas y automáticas.</w:t>
      </w:r>
      <w:r>
        <w:t xml:space="preserve"> </w:t>
      </w:r>
      <w:r>
        <w:t xml:space="preserve">* Gobernanza formal de excepciones y su interfaz de usuario (FVM).</w:t>
      </w:r>
      <w:r>
        <w:t xml:space="preserve"> </w:t>
      </w:r>
      <w:r>
        <w:t xml:space="preserve">* Integraciones automáticas con SIVEGAM y reportería regulatoria extendida.</w:t>
      </w:r>
    </w:p>
    <w:p>
      <w:pPr>
        <w:pStyle w:val="BodyText"/>
      </w:pPr>
      <w:r>
        <w:rPr>
          <w:b/>
          <w:bCs/>
        </w:rPr>
        <w:t xml:space="preserve">Próximos Pasos: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Ejecutar Épicas de Fundamentos:</w:t>
      </w:r>
      <w:r>
        <w:t xml:space="preserve"> </w:t>
      </w:r>
      <w:r>
        <w:t xml:space="preserve">El equipo de desarrollo comienza el trabajo sobre los cimientos técnicos y de dominio (Épicas 1 y 2).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Detallar Camino Feliz:</w:t>
      </w:r>
      <w:r>
        <w:t xml:space="preserve"> </w:t>
      </w:r>
      <w:r>
        <w:t xml:space="preserve">Sostener una sesión de trabajo con el negocio para detallar y priorizar las historias de usuario de R1 que constituyen el primer flujo de valor completo.</w:t>
      </w:r>
    </w:p>
    <w:p>
      <w:r>
        <w:pict>
          <v:rect style="width:0;height:1.5pt" o:hralign="center" o:hrstd="t" o:hr="t"/>
        </w:pict>
      </w:r>
    </w:p>
    <w:bookmarkEnd w:id="23"/>
    <w:bookmarkStart w:id="24" w:name="demostraciones-y-puntos-de-control"/>
    <w:p>
      <w:pPr>
        <w:pStyle w:val="Heading4"/>
      </w:pPr>
      <w:r>
        <w:rPr>
          <w:b/>
          <w:bCs/>
        </w:rPr>
        <w:t xml:space="preserve">5. Demostraciones y Puntos de Control</w:t>
      </w:r>
    </w:p>
    <w:p>
      <w:pPr>
        <w:pStyle w:val="FirstParagraph"/>
      </w:pPr>
      <w:r>
        <w:t xml:space="preserve">Para garantizar la visibilidad y alineación continua, se realizarán demostraciones funcionales</w:t>
      </w:r>
      <w:r>
        <w:t xml:space="preserve"> </w:t>
      </w:r>
      <w:r>
        <w:rPr>
          <w:b/>
          <w:bCs/>
        </w:rPr>
        <w:t xml:space="preserve">sobre el Portal de Analistas</w:t>
      </w:r>
      <w:r>
        <w:t xml:space="preserve"> </w:t>
      </w:r>
      <w:r>
        <w:t xml:space="preserve">al equipo de negocio. El primer hito de demostración significativo se realizará al completar el</w:t>
      </w:r>
      <w:r>
        <w:t xml:space="preserve"> </w:t>
      </w:r>
      <w:r>
        <w:rPr>
          <w:b/>
          <w:bCs/>
        </w:rPr>
        <w:t xml:space="preserve">“Camino Feliz”</w:t>
      </w:r>
      <w:r>
        <w:t xml:space="preserve">, ya que representa el primer ciclo de valor completo del sistema, desde el otorgamiento hasta la generación de un pago calculable, visible en una interfaz de usuario real.</w:t>
      </w:r>
    </w:p>
    <w:bookmarkEnd w:id="24"/>
    <w:bookmarkEnd w:id="25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2025-08-12T23:13:30Z</dcterms:created>
  <dcterms:modified xsi:type="dcterms:W3CDTF">2025-08-12T23:13:30Z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