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ranscripción-resumida-traspaso-iseries"/>
    <w:p>
      <w:pPr>
        <w:pStyle w:val="Heading2"/>
      </w:pPr>
      <w:r>
        <w:t xml:space="preserve">Transcripción resumida – Traspaso iSeries</w:t>
      </w:r>
    </w:p>
    <w:bookmarkStart w:id="20" w:name="secuencia-resumida-por-intervención"/>
    <w:p>
      <w:pPr>
        <w:pStyle w:val="Heading3"/>
      </w:pPr>
      <w:r>
        <w:t xml:space="preserve">Secuencia resumida por intervención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Verifica grabación/compartir y presenta que mostrará un mapa de procesos (no flujo) con cuatro etapas que alimentan Control de Pensiones.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Errazuriz Araneda, Javier Ignacio</w:t>
      </w:r>
      <w:r>
        <w:t xml:space="preserve">: Confirma que se ve la pantalla.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Describe Constitución (derecho a pensión por invalidez/supervivencia), recepción de documentos, cálculo y anexión; relación con Asignación Familiar (cargas, vigencias, viudas &lt;45) y su integración con pago.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Sudy Vergara, Jorge Eduardo</w:t>
      </w:r>
      <w:r>
        <w:t xml:space="preserve">: Apunta que son reglas de negocio del mantenedor.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Amplía sobre reglas, concurrencias entre mutualidades (prorrata) y Control de Pensiones (inactivar/reactivar, haberes/descuentos, archivo bancario mensual).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Gabriel Villalobos</w:t>
      </w:r>
      <w:r>
        <w:t xml:space="preserve">: Pregunta si “Control de Pensiones fase 1” es iSeries.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Responde que iSeries hace una parte; detallará luego qué sí/no cubre.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Sudy Vergara, Jorge Eduardo</w:t>
      </w:r>
      <w:r>
        <w:t xml:space="preserve">: Aclara que ~95% de Control de Pensiones está en iSeries.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Tras el pago, se reporta a entidades (Tesorería, cajas, etc.); vuelve a explicar Constitución con foco en flujo documental.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Sudy Vergara, Jorge Eduardo</w:t>
      </w:r>
      <w:r>
        <w:t xml:space="preserve">: Explica códigos de colores del mapa; luego Orador 1 corrige: verdes/amarillos son de iSeries, mostaza es manual/no iSeries.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Detalla Constitución: documentos, expediente, revisión por Fiscalía, “visto bueno”, primer contacto con iSeries para cálculo (analista ingresa pocos datos y 6 liquidaciones), cálculo del monto y retroactivo; después vale vista, finiquito, digitalización y alta en Control de Pensiones.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Describe Asignación Familiar: ingresos/actualizaciones/extinciones de cargas, declaraciones juradas por tramos, “sacar la foto” (cierre) y pagar; ventana de modificaciones (p.ej. 1–8 del mes).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Explica PIES de SUSESO (base nacional para evitar duplicidades); no hay integración actual, se hacen actualizaciones manuales apoyadas por reportes de iSeries; cierres variables por fechas operativas (aguinaldos, etc.).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Sobre concurrencia: cálculo de porcentajes se hace en una plataforma aparte; iSeries sólo carga porcentajes.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Define “enlace”: para que nuevas pensiones entren a pago del mes siguiente deben ingresarse al fin de mes; retroactivo se paga aparte.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andres guerrero</w:t>
      </w:r>
      <w:r>
        <w:t xml:space="preserve">: Pregunta por significado práctico de porcentajes de concurrencia.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Aclara que H paga 100% al pensionado y luego concilia trimestralmente con otras entidades según porcentajes; iSeries genera el archivo de conciliación.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Inicia procesos mensuales: iSeries genera “documento de consultas” al Registro Civil (fallecimiento/estado civil); ACH envía archivo plano masivo por contrato.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Registro Civil responde con datos básicos (nombre, nacimiento, defunción) y códigos de estado civil (S, C, U); se detectan cambios de nombre/género y se valida por RUT.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Mantenedor de cobrantes: no siempre cobra el pensionado (interdicción, apoderado, desvíos judiciales); se guardan tipos, parentesco, regímenes y montos.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Cambios de salud (FONASA/Isapre), reactivaciones manuales por casuísticas no automatizables (p.ej. pensiones transitorias; dictámenes excepcionales).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Distingue entre “nuevo cobrante” y “modificación”; requisitos de retención judicial; “haberes/descuentos no formulables” para ajustes extraordinarios (también retroactivos).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“Carga de información” como prerrequisito de avanzar de etapa (p.ej. sin archivo RC no se puede inactivar por fallecimiento); se sugiere permitir excepciones operativas formalizadas (pagar y luego regularizar) cuando falte insumo crítico.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Errazuriz Araneda, Javier Ignacio</w:t>
      </w:r>
      <w:r>
        <w:t xml:space="preserve">: Pide que el sistema contemple excepciones formales y no bloquee totalmente.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Confirma y agrega etapa de validación de documentos; por transparencia no se corrigen archivos entrantes, se devuelven para ajuste; al pasar a “Regulariza” se congelan altas de cobrantes/retenciones de ese ciclo.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“Regulariza” corre en backend: automatiza inactivaciones/modificaciones (p.ej. invalidez al cumplir 65/60), genera notas de auditoría y reportes resumidos para analistas.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Aclara que corre automático (un operador dispara el proceso), tarda horas, y entrega PDFs; el área no tiene acceso a tablas, valida por documentos.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Automatiza cargas familiares: certificaciones de estudio entre 18–24, corte por 24 años; valida y reactiva/inactiva según regla.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Nupcias de viuda: se inactiva y se paga bono por matrimonio (pago único; se menciona esquema de 2 años asociado).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Fallecimiento: se inactiva; no se activa sobrevivencia automáticamente (requiere flujo de “derecho a pensión” con trazabilidad documental); mutuamente excluyente pensionado/viuda activos.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Sandoval Parra, Marlene Elizabeth</w:t>
      </w:r>
      <w:r>
        <w:t xml:space="preserve">: Consulta si la viuda es pensionada o beneficiaria.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Son todos “pensionados” en términos de la plataforma, aunque haya distinciones funcionales.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Otras reglas: viudas &lt;45 sin hijos tienen 1 año de vigencia (cambio legislativo podría volver vitalicias); reactivaciones por certificado generan pago retroactivo.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Tras reactivar (p.ej. orfandad), se reactiva también viudez si corresponde; luego “Categorizar” (beneficios en otras entidades, DL 1026), validar pensiones mínimas y ajustes por edad.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Pasa a “Liquidación y pago”: cálculo por días (pro rata, evita pagar 30 días si corresponde menos), base de cálculo, haberes imponibles/no imponibles.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Reajustes por IPC: anual o cada vez que se acumula 10% (históricamente cambió periodo por pandemia); mantener historial de “mantenedores S400”.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Cálculo final: días proporcionales, art. 40, gran inválido, cargas, PGU (desde archivo IPS en tablas temporales), y otros haberes/descuentos.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Retroactivos imponibles y líquidos; generación de preliquidación, detalle a banco y pagos a terceros (pago extranjero vía Western Union; mayoría vía Banco de Chile).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Validación: se puede auditar por “caja” y por concepto; hay resumen y trazabilidad 1:1 (logs).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Archivos de salida son planos con estándar pactado; en banco, por pensionado se envían tres líneas (resumen, haberes, descuentos); envíos a salud/previsión por archivos específicos.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Con base cerrada y pagada, se alimentan reportes/regulatorios, asegurando consistencia (problema en app anterior era generar/actualizar fuera de ventana).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Sandoval Parra, Marlene Elizabeth</w:t>
      </w:r>
      <w:r>
        <w:t xml:space="preserve">: Pregunta qué hacen si la preliquidación no cuadra.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Re-ejecutan o investigan diferencias (p.ej. fallecimientos); validan con PDFs de auditoría y justifican cambios.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Reportería/cierres: capital vigente, GRIS (estándar SUSESO para mutualidades), contabilización PRP a SAP por archivo plano (sin integración directa); documentos externos (PIS, art. 53).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Gabriel Villalobos</w:t>
      </w:r>
      <w:r>
        <w:t xml:space="preserve">: Consulta por SFTP de circular (servidor/credenciales).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Analistas tienen credenciales; están documentadas y compartidas (no dependen de una sola persona); iSeries no sube, sólo genera el archivo.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Reportes para SUSESO cuando no hay integración (p.ej. concurrencia): iSeries sugiere modificaciones que el analista realiza manualmente en sistemas externos.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Artículo 50: si la suma de porcentajes (viuda + orfandades) excede 100%, se prorratea para no superar la pensión base (regla de tres).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Gabriel Villalobos</w:t>
      </w:r>
      <w:r>
        <w:t xml:space="preserve">: Pregunta por plataforma objetivo y relación con SAP.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MVP busca replicar lo que hace iSeries; automatizar más sería ideal, pero no se planea llevarlo a SAP en primera instancia; plataforma a definir por Javier.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andres guerrero</w:t>
      </w:r>
      <w:r>
        <w:t xml:space="preserve">: Pide acceso a la documentación del mapa.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Orador 1</w:t>
      </w:r>
      <w:r>
        <w:t xml:space="preserve">: Compartirá el Miro tras revisión interna y será contraparte en el tramo iSeries–proveedor.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Cierre</w:t>
      </w:r>
      <w:r>
        <w:t xml:space="preserve">: “Asencio Moreira, Jorge Luis detuvo la transcripción”.</w:t>
      </w:r>
    </w:p>
    <w:p>
      <w:r>
        <w:pict>
          <v:rect style="width:0;height:1.5pt" o:hralign="center" o:hrstd="t" o:hr="t"/>
        </w:pict>
      </w:r>
    </w:p>
    <w:bookmarkEnd w:id="20"/>
    <w:bookmarkStart w:id="21" w:name="breve-resumen"/>
    <w:p>
      <w:pPr>
        <w:pStyle w:val="Heading3"/>
      </w:pPr>
      <w:r>
        <w:t xml:space="preserve">Breve resumen</w:t>
      </w:r>
    </w:p>
    <w:p>
      <w:pPr>
        <w:pStyle w:val="Compact"/>
        <w:numPr>
          <w:ilvl w:val="0"/>
          <w:numId w:val="1003"/>
        </w:numPr>
      </w:pPr>
      <w:r>
        <w:t xml:space="preserve">Generé una línea de tiempo cronológica y condensada con 52 intervenciones sustantivas, identificando a cada interlocutor y resumiendo cada aporte en una frase breve.</w:t>
      </w:r>
    </w:p>
    <w:p>
      <w:pPr>
        <w:pStyle w:val="Compact"/>
        <w:numPr>
          <w:ilvl w:val="0"/>
          <w:numId w:val="1003"/>
        </w:numPr>
      </w:pPr>
      <w:r>
        <w:t xml:space="preserve">Consolidé interjecciones repetitivas para mantener foco en contenido; se conservan secuencia y atribución de hablantes.</w:t>
      </w:r>
    </w:p>
    <w:bookmarkEnd w:id="21"/>
    <w:bookmarkEnd w:id="22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2025-08-12T23:13:46Z</dcterms:created>
  <dcterms:modified xsi:type="dcterms:W3CDTF">2025-08-12T23:13:46Z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