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91506be52c6ba7309f52b80c165bfc9b0203db"/>
    <w:p>
      <w:pPr>
        <w:pStyle w:val="Heading1"/>
      </w:pPr>
      <w:r>
        <w:t xml:space="preserve">Anexo: Guía Metodológica para Estimación y Planificación de Proyectos Basados en Dominio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2025-08-06</w:t>
      </w:r>
      <w:r>
        <w:t xml:space="preserve"> </w:t>
      </w:r>
      <w:r>
        <w:rPr>
          <w:b/>
          <w:bCs/>
        </w:rPr>
        <w:t xml:space="preserve">Propósito:</w:t>
      </w:r>
      <w:r>
        <w:t xml:space="preserve"> </w:t>
      </w:r>
      <w:r>
        <w:t xml:space="preserve">Proporcionar un marco de trabajo estandarizado y reutilizable para la estimación de esfuerzo y la planificación de proyectos de software complejos, cuya funcionalidad está definida por una especificación de dominio de negocio detallada (como un MDLO).</w:t>
      </w:r>
    </w:p>
    <w:p>
      <w:r>
        <w:pict>
          <v:rect style="width:0;height:1.5pt" o:hralign="center" o:hrstd="t" o:hr="t"/>
        </w:pict>
      </w:r>
    </w:p>
    <w:bookmarkStart w:id="20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Los proyectos de software basados en dominios de negocio complejos (financieros, seguros, logística, etc.) a menudo enfrentan un desafío fundamental: ¿cómo traducir una especificación funcional exhaustiva, con cientos de reglas y procesos, en un plan de desarrollo predecible y gestionable?</w:t>
      </w:r>
    </w:p>
    <w:p>
      <w:pPr>
        <w:pStyle w:val="BodyText"/>
      </w:pPr>
      <w:r>
        <w:t xml:space="preserve">Esta guía presenta una metodología en seis pasos diseñada para cerrar esa brecha. Su objetivo es transformar una especificación de dominio en una</w:t>
      </w:r>
      <w:r>
        <w:t xml:space="preserve"> </w:t>
      </w:r>
      <w:r>
        <w:rPr>
          <w:b/>
          <w:bCs/>
        </w:rPr>
        <w:t xml:space="preserve">Descomposición de Trabajo (Work Breakdown Structure - WBS)</w:t>
      </w:r>
      <w:r>
        <w:t xml:space="preserve"> </w:t>
      </w:r>
      <w:r>
        <w:t xml:space="preserve">cuantificable, permitiendo una estimación de esfuerzo relativa, una secuenciación de tareas que mitigue los riesgos y una comunicación clara entre los stakeholders del proyecto.</w:t>
      </w:r>
    </w:p>
    <w:p>
      <w:r>
        <w:pict>
          <v:rect style="width:0;height:1.5pt" o:hralign="center" o:hrstd="t" o:hr="t"/>
        </w:pict>
      </w:r>
    </w:p>
    <w:bookmarkEnd w:id="20"/>
    <w:bookmarkStart w:id="23" w:name="conceptos-fundamentales"/>
    <w:p>
      <w:pPr>
        <w:pStyle w:val="Heading2"/>
      </w:pPr>
      <w:r>
        <w:t xml:space="preserve">2. Conceptos Fundamentales</w:t>
      </w:r>
    </w:p>
    <w:p>
      <w:pPr>
        <w:pStyle w:val="FirstParagraph"/>
      </w:pPr>
      <w:r>
        <w:t xml:space="preserve">La metodología se basa en dos conceptos clave para la cuantificación del trabajo.</w:t>
      </w:r>
    </w:p>
    <w:bookmarkStart w:id="21" w:name="puntos-de-complejidad-de-componente-pcc"/>
    <w:p>
      <w:pPr>
        <w:pStyle w:val="Heading3"/>
      </w:pPr>
      <w:r>
        <w:t xml:space="preserve">2.1. Puntos de Complejidad de Componente (PCC)</w:t>
      </w:r>
    </w:p>
    <w:p>
      <w:pPr>
        <w:pStyle w:val="FirstParagraph"/>
      </w:pPr>
      <w:r>
        <w:t xml:space="preserve">El PCC es una métrica abstracta y relativa para estimar el esfuerzo. No se traduce directamente a horas-hombre, sino que se utiliza para comparar la complejidad entre diferentes tareas. Su propósito es proporcionar una base objetiva para la planificación.</w:t>
      </w:r>
    </w:p>
    <w:p>
      <w:pPr>
        <w:pStyle w:val="BodyText"/>
      </w:pPr>
      <w:r>
        <w:t xml:space="preserve">Cada componente de software se evalúa en tres ejes, cada uno en una escala de 1 (muy bajo) a 5 (muy alto):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Lógica (L):</w:t>
      </w:r>
      <w:r>
        <w:t xml:space="preserve"> </w:t>
      </w:r>
      <w:r>
        <w:t xml:space="preserve">La complejidad intrínseca del algoritmo o de las reglas de negocio que implementa.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Dependencias (D):</w:t>
      </w:r>
      <w:r>
        <w:t xml:space="preserve"> </w:t>
      </w:r>
      <w:r>
        <w:t xml:space="preserve">El número y la complejidad de las dependencias (internas o externas) que el componente necesita para funcionar.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(T):</w:t>
      </w:r>
      <w:r>
        <w:t xml:space="preserve"> </w:t>
      </w:r>
      <w:r>
        <w:t xml:space="preserve">El esfuerzo requerido para escribir pruebas unitarias y de integración exhaustivas y significativas.</w:t>
      </w:r>
    </w:p>
    <w:p>
      <w:pPr>
        <w:pStyle w:val="FirstParagraph"/>
      </w:pPr>
      <w:r>
        <w:rPr>
          <w:b/>
          <w:bCs/>
        </w:rPr>
        <w:t xml:space="preserve">Fórmula:</w:t>
      </w:r>
      <w:r>
        <w:t xml:space="preserve"> </w:t>
      </w:r>
      <w:r>
        <w:rPr>
          <w:rStyle w:val="VerbatimChar"/>
        </w:rPr>
        <w:t xml:space="preserve">PCC = Lógica + Dependencias + Testing</w:t>
      </w:r>
      <w:r>
        <w:t xml:space="preserve"> </w:t>
      </w:r>
      <w:r>
        <w:t xml:space="preserve">(Rango de 3 a 15 por componente).</w:t>
      </w:r>
    </w:p>
    <w:bookmarkEnd w:id="21"/>
    <w:bookmarkStart w:id="22" w:name="paquetes-de-implementación"/>
    <w:p>
      <w:pPr>
        <w:pStyle w:val="Heading3"/>
      </w:pPr>
      <w:r>
        <w:t xml:space="preserve">2.2. Paquetes de Implementación</w:t>
      </w:r>
    </w:p>
    <w:p>
      <w:pPr>
        <w:pStyle w:val="FirstParagraph"/>
      </w:pPr>
      <w:r>
        <w:t xml:space="preserve">Un</w:t>
      </w:r>
      <w:r>
        <w:t xml:space="preserve"> </w:t>
      </w:r>
      <w:r>
        <w:t xml:space="preserve">“Paquete”</w:t>
      </w:r>
      <w:r>
        <w:t xml:space="preserve"> </w:t>
      </w:r>
      <w:r>
        <w:t xml:space="preserve">es la unidad de trabajo completa y vertical asociada a un artefacto de negocio (como una regla o un proceso). Este enfoque asegura que la estimación incluya no solo la implementación de la lógica principal, sino también sus pruebas, contratos de datos (DTOs) y configuración asociada. Esto previene la subestimación al hacer visible todo el trabajo requerido.</w:t>
      </w:r>
    </w:p>
    <w:p>
      <w:pPr>
        <w:pStyle w:val="BodyText"/>
      </w:pPr>
      <w:r>
        <w:rPr>
          <w:b/>
          <w:bCs/>
        </w:rPr>
        <w:t xml:space="preserve">Ejemplo de un Paquete de Proceso: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[nombre-proceso].service.ts</w:t>
      </w:r>
      <w:r>
        <w:t xml:space="preserve"> </w:t>
      </w:r>
      <w:r>
        <w:t xml:space="preserve">(La lógica de orquestación)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[nombre-proceso].service.spec.ts</w:t>
      </w:r>
      <w:r>
        <w:t xml:space="preserve"> </w:t>
      </w:r>
      <w:r>
        <w:t xml:space="preserve">(Las pruebas unitarias y de integración)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dto/[nombre-proceso].input.ts</w:t>
      </w:r>
      <w:r>
        <w:t xml:space="preserve"> </w:t>
      </w:r>
      <w:r>
        <w:t xml:space="preserve">(El contrato de datos de entrada)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la-metodología-en-6-pasos"/>
    <w:p>
      <w:pPr>
        <w:pStyle w:val="Heading2"/>
      </w:pPr>
      <w:r>
        <w:t xml:space="preserve">3. La Metodología en 6 Pasos</w:t>
      </w:r>
    </w:p>
    <w:bookmarkStart w:id="24" w:name="paso-1-análisis-cuantitativo-del-dominio"/>
    <w:p>
      <w:pPr>
        <w:pStyle w:val="Heading3"/>
      </w:pPr>
      <w:r>
        <w:t xml:space="preserve">Paso 1: Análisis Cuantitativo del Dominio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Entender la magnitud del proyecto.</w:t>
      </w:r>
      <w:r>
        <w:t xml:space="preserve"> </w:t>
      </w:r>
      <w:r>
        <w:rPr>
          <w:b/>
          <w:bCs/>
        </w:rPr>
        <w:t xml:space="preserve">Acción:</w:t>
      </w:r>
      <w:r>
        <w:t xml:space="preserve"> </w:t>
      </w:r>
      <w:r>
        <w:t xml:space="preserve">Realizar un inventario exhaustivo de todos los artefactos de negocio definidos en la especificación de dominio. Contar y categorizar:</w:t>
      </w:r>
      <w:r>
        <w:t xml:space="preserve"> </w:t>
      </w:r>
      <w:r>
        <w:t xml:space="preserve">- Entidades de Dominio</w:t>
      </w:r>
      <w:r>
        <w:t xml:space="preserve"> </w:t>
      </w:r>
      <w:r>
        <w:t xml:space="preserve">- Procesos de Negocio (PDN)</w:t>
      </w:r>
      <w:r>
        <w:t xml:space="preserve"> </w:t>
      </w:r>
      <w:r>
        <w:t xml:space="preserve">- Reglas de Negocio (RDN)</w:t>
      </w:r>
      <w:r>
        <w:t xml:space="preserve"> </w:t>
      </w:r>
      <w:r>
        <w:t xml:space="preserve">- Interfaces con Sistemas Externos</w:t>
      </w:r>
      <w:r>
        <w:t xml:space="preserve"> </w:t>
      </w:r>
      <w:r>
        <w:t xml:space="preserve">- Escenarios de Verificación / Casos de Prueba</w:t>
      </w:r>
    </w:p>
    <w:bookmarkEnd w:id="24"/>
    <w:bookmarkStart w:id="25" w:name="X06827a78e9d0d2b6b37745302fd14f22b3e1dfe"/>
    <w:p>
      <w:pPr>
        <w:pStyle w:val="Heading3"/>
      </w:pPr>
      <w:r>
        <w:t xml:space="preserve">Paso 2: Definición de los Paquetes de Implementación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Definir las unidades de trabajo estándar.</w:t>
      </w:r>
      <w:r>
        <w:t xml:space="preserve"> </w:t>
      </w:r>
      <w:r>
        <w:rPr>
          <w:b/>
          <w:bCs/>
        </w:rPr>
        <w:t xml:space="preserve">Acción:</w:t>
      </w:r>
      <w:r>
        <w:t xml:space="preserve"> </w:t>
      </w:r>
      <w:r>
        <w:t xml:space="preserve">Basándose en la arquitectura elegida, definir qué archivos de código y pruebas constituyen un</w:t>
      </w:r>
      <w:r>
        <w:t xml:space="preserve"> </w:t>
      </w:r>
      <w:r>
        <w:t xml:space="preserve">“Paquete”</w:t>
      </w:r>
      <w:r>
        <w:t xml:space="preserve"> </w:t>
      </w:r>
      <w:r>
        <w:t xml:space="preserve">para cada tipo de artefacto del dominio (ej. Paquete de RDN, Paquete de PDN, Paquete de Integración).</w:t>
      </w:r>
    </w:p>
    <w:bookmarkEnd w:id="25"/>
    <w:bookmarkStart w:id="26" w:name="paso-3-calibración-de-la-métrica-pcc"/>
    <w:p>
      <w:pPr>
        <w:pStyle w:val="Heading3"/>
      </w:pPr>
      <w:r>
        <w:t xml:space="preserve">Paso 3: Calibración de la Métrica PCC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Crear un entendimiento compartido de la escala de complejidad.</w:t>
      </w:r>
      <w:r>
        <w:t xml:space="preserve"> </w:t>
      </w:r>
      <w:r>
        <w:rPr>
          <w:b/>
          <w:bCs/>
        </w:rPr>
        <w:t xml:space="preserve">Acción:</w:t>
      </w:r>
      <w:r>
        <w:t xml:space="preserve"> </w:t>
      </w:r>
      <w:r>
        <w:t xml:space="preserve">El equipo técnico (liderado por el Arquitecto/Tech Lead) debe realizar una sesión de calibración. Deben tomar ejemplos concretos de la especificación y acordar qué constituye una tarea de Lógica 1, 3 o 5; de Dependencias 1, 3 o 5; y de Testing 1, 3 o 5. Este acuerdo es crucial para que las estimaciones sean consistentes entre los miembros del equipo.</w:t>
      </w:r>
    </w:p>
    <w:bookmarkEnd w:id="26"/>
    <w:bookmarkStart w:id="27" w:name="Xcd08fc6b47ffd953ed8d88cb1dc82d1d015cae2"/>
    <w:p>
      <w:pPr>
        <w:pStyle w:val="Heading3"/>
      </w:pPr>
      <w:r>
        <w:t xml:space="preserve">Paso 4: Estimación y Clasificación de Artefactos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Asignar una estimación de esfuerzo a cada unidad de trabajo.</w:t>
      </w:r>
      <w:r>
        <w:t xml:space="preserve"> </w:t>
      </w:r>
      <w:r>
        <w:rPr>
          <w:b/>
          <w:bCs/>
        </w:rPr>
        <w:t xml:space="preserve">Acción:</w:t>
      </w:r>
      <w:r>
        <w:t xml:space="preserve"> </w:t>
      </w:r>
      <w:r>
        <w:t xml:space="preserve">Recorrer el inventario del Paso 1. Para cada artefacto, clasificarlo como Simple (S), Medio (M) o Complejo (C) y asignarle un valor de PCC basado en la calibración del Paso 3. El resultado es una lista completa de paquetes de trabajo con su complejidad relativa.</w:t>
      </w:r>
    </w:p>
    <w:bookmarkEnd w:id="27"/>
    <w:bookmarkStart w:id="28" w:name="X151146fb5c56ace3d0ad5c30db58702d07888f2"/>
    <w:p>
      <w:pPr>
        <w:pStyle w:val="Heading3"/>
      </w:pPr>
      <w:r>
        <w:t xml:space="preserve">Paso 5: Estructuración del Plan por</w:t>
      </w:r>
      <w:r>
        <w:t xml:space="preserve"> </w:t>
      </w:r>
      <w:r>
        <w:t xml:space="preserve">“Vertical Slices”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Crear una hoja de ruta que mitigue los riesgos y entregue valor de forma incremental.</w:t>
      </w:r>
      <w:r>
        <w:t xml:space="preserve"> </w:t>
      </w:r>
      <w:r>
        <w:rPr>
          <w:b/>
          <w:bCs/>
        </w:rPr>
        <w:t xml:space="preserve">Acción:</w:t>
      </w:r>
      <w:r>
        <w:t xml:space="preserve"> </w:t>
      </w:r>
      <w:r>
        <w:t xml:space="preserve">Agrupar los paquetes de trabajo estimados en fases que representen</w:t>
      </w:r>
      <w:r>
        <w:t xml:space="preserve"> </w:t>
      </w:r>
      <w:r>
        <w:t xml:space="preserve">“porciones verticales”</w:t>
      </w:r>
      <w:r>
        <w:t xml:space="preserve"> </w:t>
      </w:r>
      <w:r>
        <w:t xml:space="preserve">de funcionalidad. En lugar de fases por capas (ej.</w:t>
      </w:r>
      <w:r>
        <w:t xml:space="preserve"> </w:t>
      </w:r>
      <w:r>
        <w:t xml:space="preserve">“Fase de Base de Datos”</w:t>
      </w:r>
      <w:r>
        <w:t xml:space="preserve">), se definen fases por capacidad de negocio (ej.</w:t>
      </w:r>
      <w:r>
        <w:t xml:space="preserve"> </w:t>
      </w:r>
      <w:r>
        <w:t xml:space="preserve">“Fase de Ciclo de Pagos”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Fase 0 (Fundación):</w:t>
      </w:r>
      <w:r>
        <w:t xml:space="preserve"> </w:t>
      </w:r>
      <w:r>
        <w:t xml:space="preserve">Siempre debe incluir la configuración del proyecto, la infraestructura como código, el CI/CD y las herramientas de prueba.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Fases Siguientes:</w:t>
      </w:r>
      <w:r>
        <w:t xml:space="preserve"> </w:t>
      </w:r>
      <w:r>
        <w:t xml:space="preserve">Cada fase debe agrupar un conjunto coherente de PDNs, RDNs y las</w:t>
      </w:r>
      <w:r>
        <w:t xml:space="preserve"> </w:t>
      </w:r>
      <w:r>
        <w:rPr>
          <w:b/>
          <w:bCs/>
        </w:rPr>
        <w:t xml:space="preserve">integraciones de las que dependen</w:t>
      </w:r>
      <w:r>
        <w:t xml:space="preserve">, culminando en la automatización de los escenarios de verificación correspondientes.</w:t>
      </w:r>
    </w:p>
    <w:bookmarkEnd w:id="28"/>
    <w:bookmarkStart w:id="29" w:name="paso-6-refinamiento-y-monitoreo-continuo"/>
    <w:p>
      <w:pPr>
        <w:pStyle w:val="Heading3"/>
      </w:pPr>
      <w:r>
        <w:t xml:space="preserve">Paso 6: Refinamiento y Monitoreo Continuo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Mantener el plan como un documento vivo y útil.</w:t>
      </w:r>
      <w:r>
        <w:t xml:space="preserve"> </w:t>
      </w:r>
      <w:r>
        <w:rPr>
          <w:b/>
          <w:bCs/>
        </w:rPr>
        <w:t xml:space="preserve">Acción:</w:t>
      </w:r>
      <w:r>
        <w:t xml:space="preserve"> </w:t>
      </w:r>
      <w:r>
        <w:t xml:space="preserve">El plan y las estimaciones de PCC deben ser revisados al final de cada fase o de cada sprint. El equipo utilizará la velocidad real (PCC completados por sprint) para refinar las estimaciones de las fases futuras, mejorando la predictibilidad del proyecto a medida que avanza.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jemplo-práctico-simplificado"/>
    <w:p>
      <w:pPr>
        <w:pStyle w:val="Heading2"/>
      </w:pPr>
      <w:r>
        <w:t xml:space="preserve">4. Ejemplo Práctico Simplificado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Dominio:</w:t>
      </w:r>
      <w:r>
        <w:t xml:space="preserve"> </w:t>
      </w:r>
      <w:r>
        <w:t xml:space="preserve">Un sistema simple de</w:t>
      </w:r>
      <w:r>
        <w:t xml:space="preserve"> </w:t>
      </w:r>
      <w:r>
        <w:t xml:space="preserve">“Gestión de Pedidos”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Paso 1 (Análisis):</w:t>
      </w:r>
      <w:r>
        <w:t xml:space="preserve"> </w:t>
      </w:r>
      <w:r>
        <w:t xml:space="preserve">2 PDN (</w:t>
      </w:r>
      <w:r>
        <w:rPr>
          <w:rStyle w:val="VerbatimChar"/>
        </w:rPr>
        <w:t xml:space="preserve">CrearPedido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CancelarPedido</w:t>
      </w:r>
      <w:r>
        <w:t xml:space="preserve">), 3 RDN (</w:t>
      </w:r>
      <w:r>
        <w:rPr>
          <w:rStyle w:val="VerbatimChar"/>
        </w:rPr>
        <w:t xml:space="preserve">ValidarStock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CalcularTotal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ValidarCancelacion</w:t>
      </w:r>
      <w:r>
        <w:t xml:space="preserve">), 1 Integración (</w:t>
      </w:r>
      <w:r>
        <w:rPr>
          <w:rStyle w:val="VerbatimChar"/>
        </w:rPr>
        <w:t xml:space="preserve">PasarelaDePago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Paso 2 (Paquetes):</w:t>
      </w:r>
      <w:r>
        <w:t xml:space="preserve"> </w:t>
      </w:r>
      <w:r>
        <w:t xml:space="preserve">Se definen los paquetes de PDN, RDN e Integración.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Paso 3 (Calibración):</w:t>
      </w:r>
      <w:r>
        <w:t xml:space="preserve"> </w:t>
      </w:r>
      <w:r>
        <w:t xml:space="preserve">El equipo acuerda la escala de PCC.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Paso 4 (Estimación):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PDN:CrearPedido</w:t>
      </w:r>
      <w:r>
        <w:t xml:space="preserve">: Paquete Complejo (15 PCC)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PDN:CancelarPedido</w:t>
      </w:r>
      <w:r>
        <w:t xml:space="preserve">: Paquete Simple (8 PCC)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RDN:ValidarStock</w:t>
      </w:r>
      <w:r>
        <w:t xml:space="preserve">: Paquete Medio (9 PCC)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RDN:CalcularTotal</w:t>
      </w:r>
      <w:r>
        <w:t xml:space="preserve">: Paquete Complejo (12 PCC)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INT:PasarelaDePago</w:t>
      </w:r>
      <w:r>
        <w:t xml:space="preserve">: Paquete Complejo (14 PCC)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Paso 5 (Plan por Slices):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Fase 0:</w:t>
      </w:r>
      <w:r>
        <w:t xml:space="preserve"> </w:t>
      </w:r>
      <w:r>
        <w:t xml:space="preserve">Setup del proyecto, BBDD, CI/CD.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Fase 1 (Vertical Slice - Creación de Pedido):</w:t>
      </w:r>
    </w:p>
    <w:p>
      <w:pPr>
        <w:pStyle w:val="Compact"/>
        <w:numPr>
          <w:ilvl w:val="2"/>
          <w:numId w:val="1005"/>
        </w:numPr>
      </w:pPr>
      <w:r>
        <w:t xml:space="preserve">Implementar el Paquete</w:t>
      </w:r>
      <w:r>
        <w:t xml:space="preserve"> </w:t>
      </w:r>
      <w:r>
        <w:rPr>
          <w:rStyle w:val="VerbatimChar"/>
        </w:rPr>
        <w:t xml:space="preserve">PDN:CrearPedido</w:t>
      </w:r>
      <w:r>
        <w:t xml:space="preserve">.</w:t>
      </w:r>
    </w:p>
    <w:p>
      <w:pPr>
        <w:pStyle w:val="Compact"/>
        <w:numPr>
          <w:ilvl w:val="2"/>
          <w:numId w:val="1005"/>
        </w:numPr>
      </w:pPr>
      <w:r>
        <w:t xml:space="preserve">Implementar los Paquetes</w:t>
      </w:r>
      <w:r>
        <w:t xml:space="preserve"> </w:t>
      </w:r>
      <w:r>
        <w:rPr>
          <w:rStyle w:val="VerbatimChar"/>
        </w:rPr>
        <w:t xml:space="preserve">RDN:ValidarStock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RDN:CalcularTotal</w:t>
      </w:r>
      <w:r>
        <w:t xml:space="preserve">.</w:t>
      </w:r>
    </w:p>
    <w:p>
      <w:pPr>
        <w:pStyle w:val="Compact"/>
        <w:numPr>
          <w:ilvl w:val="2"/>
          <w:numId w:val="1005"/>
        </w:numPr>
      </w:pPr>
      <w:r>
        <w:t xml:space="preserve">Implementar el Paquete</w:t>
      </w:r>
      <w:r>
        <w:t xml:space="preserve"> </w:t>
      </w:r>
      <w:r>
        <w:rPr>
          <w:rStyle w:val="VerbatimChar"/>
        </w:rPr>
        <w:t xml:space="preserve">INT:PasarelaDePago</w:t>
      </w:r>
      <w:r>
        <w:t xml:space="preserve"> </w:t>
      </w:r>
      <w:r>
        <w:t xml:space="preserve">(porque</w:t>
      </w:r>
      <w:r>
        <w:t xml:space="preserve"> </w:t>
      </w:r>
      <w:r>
        <w:rPr>
          <w:rStyle w:val="VerbatimChar"/>
        </w:rPr>
        <w:t xml:space="preserve">CrearPedido</w:t>
      </w:r>
      <w:r>
        <w:t xml:space="preserve"> </w:t>
      </w:r>
      <w:r>
        <w:t xml:space="preserve">depende de él).</w:t>
      </w:r>
    </w:p>
    <w:p>
      <w:pPr>
        <w:pStyle w:val="Compact"/>
        <w:numPr>
          <w:ilvl w:val="2"/>
          <w:numId w:val="1005"/>
        </w:numPr>
      </w:pPr>
      <w:r>
        <w:t xml:space="preserve">Automatizar la prueba E2E para la creación de un pedido.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Fase 2 (Vertical Slice - Cancelación):</w:t>
      </w:r>
    </w:p>
    <w:p>
      <w:pPr>
        <w:pStyle w:val="Compact"/>
        <w:numPr>
          <w:ilvl w:val="2"/>
          <w:numId w:val="1006"/>
        </w:numPr>
      </w:pPr>
      <w:r>
        <w:t xml:space="preserve">Implementar el Paquete</w:t>
      </w:r>
      <w:r>
        <w:t xml:space="preserve"> </w:t>
      </w:r>
      <w:r>
        <w:rPr>
          <w:rStyle w:val="VerbatimChar"/>
        </w:rPr>
        <w:t xml:space="preserve">PDN:CancelarPedido</w:t>
      </w:r>
      <w:r>
        <w:t xml:space="preserve">.</w:t>
      </w:r>
    </w:p>
    <w:p>
      <w:pPr>
        <w:pStyle w:val="Compact"/>
        <w:numPr>
          <w:ilvl w:val="2"/>
          <w:numId w:val="1006"/>
        </w:numPr>
      </w:pPr>
      <w:r>
        <w:t xml:space="preserve">Implementar el Paquete</w:t>
      </w:r>
      <w:r>
        <w:t xml:space="preserve"> </w:t>
      </w:r>
      <w:r>
        <w:rPr>
          <w:rStyle w:val="VerbatimChar"/>
        </w:rPr>
        <w:t xml:space="preserve">RDN:ValidarCancelacion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conclusión"/>
    <w:p>
      <w:pPr>
        <w:pStyle w:val="Heading2"/>
      </w:pPr>
      <w:r>
        <w:t xml:space="preserve">5. Conclusión</w:t>
      </w:r>
    </w:p>
    <w:p>
      <w:pPr>
        <w:pStyle w:val="FirstParagraph"/>
      </w:pPr>
      <w:r>
        <w:t xml:space="preserve">Esta metodología proporciona un proceso estructurado para abordar la complejidad inherente a los grandes proyectos de software basados en dominios de negocio. Al cuantificar el trabajo, secuenciarlo de manera inteligente y planificar el testing desde el inicio, los equipos pueden aumentar la predictibilidad, reducir los riesgos y, en última instancia, mejorar la probabilidad de entregar un producto de alta calidad a tiempo.</w:t>
      </w:r>
    </w:p>
    <w:bookmarkEnd w:id="32"/>
    <w:bookmarkEnd w:id="33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2025-08-12T11:51:09Z</dcterms:created>
  <dcterms:modified xsi:type="dcterms:W3CDTF">2025-08-12T11:51:09Z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