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7DC6" w:rsidRPr="00627DC6" w:rsidRDefault="00627DC6" w:rsidP="00627DC6">
      <w:pPr>
        <w:spacing w:after="0" w:line="240" w:lineRule="auto"/>
        <w:rPr>
          <w:rFonts w:ascii="Times New Roman" w:eastAsia="Times New Roman" w:hAnsi="Times New Roman" w:cs="Times New Roman"/>
          <w:sz w:val="24"/>
          <w:szCs w:val="24"/>
        </w:rPr>
      </w:pPr>
    </w:p>
    <w:p w:rsidR="00627DC6" w:rsidRPr="00627DC6" w:rsidRDefault="00627DC6" w:rsidP="00627DC6">
      <w:pPr>
        <w:spacing w:before="360" w:after="80" w:line="240" w:lineRule="auto"/>
        <w:jc w:val="center"/>
        <w:outlineLvl w:val="1"/>
        <w:rPr>
          <w:rFonts w:ascii="Times New Roman" w:eastAsia="Times New Roman" w:hAnsi="Times New Roman" w:cs="Times New Roman"/>
          <w:b/>
          <w:bCs/>
          <w:sz w:val="36"/>
          <w:szCs w:val="36"/>
        </w:rPr>
      </w:pPr>
      <w:r w:rsidRPr="00627DC6">
        <w:rPr>
          <w:rFonts w:ascii="Arial" w:eastAsia="Times New Roman" w:hAnsi="Arial" w:cs="Arial"/>
          <w:b/>
          <w:bCs/>
          <w:color w:val="000000"/>
          <w:sz w:val="36"/>
          <w:szCs w:val="36"/>
        </w:rPr>
        <w:t>Phân tích Phạm vi Dự án – Hệ thống Quản lý Tuyển sinh Sau đại học</w:t>
      </w:r>
    </w:p>
    <w:p w:rsidR="00627DC6" w:rsidRPr="00627DC6" w:rsidRDefault="00627DC6" w:rsidP="00627DC6">
      <w:pPr>
        <w:spacing w:after="0" w:line="240" w:lineRule="auto"/>
        <w:rPr>
          <w:rFonts w:ascii="Times New Roman" w:eastAsia="Times New Roman" w:hAnsi="Times New Roman" w:cs="Times New Roman"/>
          <w:sz w:val="24"/>
          <w:szCs w:val="24"/>
        </w:rPr>
      </w:pPr>
    </w:p>
    <w:p w:rsidR="00627DC6" w:rsidRPr="00627DC6" w:rsidRDefault="00627DC6" w:rsidP="00627DC6">
      <w:pPr>
        <w:spacing w:after="60" w:line="240" w:lineRule="auto"/>
        <w:ind w:left="720"/>
        <w:jc w:val="center"/>
        <w:rPr>
          <w:rFonts w:ascii="Times New Roman" w:eastAsia="Times New Roman" w:hAnsi="Times New Roman" w:cs="Times New Roman"/>
          <w:sz w:val="24"/>
          <w:szCs w:val="24"/>
        </w:rPr>
      </w:pPr>
      <w:r w:rsidRPr="00627DC6">
        <w:rPr>
          <w:rFonts w:ascii="Arial" w:eastAsia="Times New Roman" w:hAnsi="Arial" w:cs="Arial"/>
          <w:b/>
          <w:bCs/>
          <w:color w:val="000000"/>
          <w:sz w:val="32"/>
          <w:szCs w:val="32"/>
        </w:rPr>
        <w:t>XÁC ĐỊNH PHẠM VI DỰ ÁN PHẦN MỀM</w:t>
      </w:r>
    </w:p>
    <w:p w:rsidR="00627DC6" w:rsidRPr="00627DC6" w:rsidRDefault="00627DC6" w:rsidP="00627DC6">
      <w:pPr>
        <w:spacing w:after="300" w:line="240" w:lineRule="auto"/>
        <w:ind w:left="720"/>
        <w:jc w:val="center"/>
        <w:rPr>
          <w:rFonts w:ascii="Times New Roman" w:eastAsia="Times New Roman" w:hAnsi="Times New Roman" w:cs="Times New Roman"/>
          <w:sz w:val="24"/>
          <w:szCs w:val="24"/>
        </w:rPr>
      </w:pPr>
      <w:r w:rsidRPr="00627DC6">
        <w:rPr>
          <w:rFonts w:ascii="Arial" w:eastAsia="Times New Roman" w:hAnsi="Arial" w:cs="Arial"/>
          <w:b/>
          <w:bCs/>
          <w:color w:val="1F4E79"/>
          <w:sz w:val="28"/>
          <w:szCs w:val="28"/>
        </w:rPr>
        <w:t>HỆ THỐNG QUẢN LÝ TUYỂN SINH &amp; ĐÀO TẠO SAU ĐẠI HỌC</w:t>
      </w:r>
    </w:p>
    <w:tbl>
      <w:tblPr>
        <w:tblW w:w="0" w:type="auto"/>
        <w:tblCellMar>
          <w:top w:w="15" w:type="dxa"/>
          <w:left w:w="15" w:type="dxa"/>
          <w:bottom w:w="15" w:type="dxa"/>
          <w:right w:w="15" w:type="dxa"/>
        </w:tblCellMar>
        <w:tblLook w:val="04A0" w:firstRow="1" w:lastRow="0" w:firstColumn="1" w:lastColumn="0" w:noHBand="0" w:noVBand="1"/>
      </w:tblPr>
      <w:tblGrid>
        <w:gridCol w:w="2088"/>
        <w:gridCol w:w="7472"/>
      </w:tblGrid>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shd w:val="clear" w:color="auto" w:fill="F2F2F2"/>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b/>
                <w:bCs/>
                <w:color w:val="000000"/>
                <w:sz w:val="20"/>
                <w:szCs w:val="20"/>
              </w:rPr>
              <w:t>Tên dự án</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Hệ thống Quản lý Tuyển sinh &amp; Đào tạo Sau đại học (Web Admin &amp; Lecturer Portal)</w:t>
            </w:r>
          </w:p>
        </w:tc>
      </w:tr>
      <w:tr w:rsidR="00627DC6" w:rsidRPr="00627DC6" w:rsidTr="00627DC6">
        <w:trPr>
          <w:trHeight w:val="450"/>
        </w:trPr>
        <w:tc>
          <w:tcPr>
            <w:tcW w:w="0" w:type="auto"/>
            <w:tcBorders>
              <w:top w:val="single" w:sz="6" w:space="0" w:color="BFBFBF"/>
              <w:left w:val="single" w:sz="6" w:space="0" w:color="BFBFBF"/>
              <w:bottom w:val="single" w:sz="6" w:space="0" w:color="BFBFBF"/>
              <w:right w:val="single" w:sz="6" w:space="0" w:color="BFBFBF"/>
            </w:tcBorders>
            <w:shd w:val="clear" w:color="auto" w:fill="F2F2F2"/>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b/>
                <w:bCs/>
                <w:color w:val="000000"/>
                <w:sz w:val="20"/>
                <w:szCs w:val="20"/>
              </w:rPr>
              <w:t>Loại tài liệu</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Xác định phạm vi dự án (Project Scope Statement)</w:t>
            </w:r>
          </w:p>
        </w:tc>
      </w:tr>
      <w:tr w:rsidR="00627DC6" w:rsidRPr="00627DC6" w:rsidTr="00627DC6">
        <w:trPr>
          <w:trHeight w:val="450"/>
        </w:trPr>
        <w:tc>
          <w:tcPr>
            <w:tcW w:w="0" w:type="auto"/>
            <w:tcBorders>
              <w:top w:val="single" w:sz="6" w:space="0" w:color="BFBFBF"/>
              <w:left w:val="single" w:sz="6" w:space="0" w:color="BFBFBF"/>
              <w:bottom w:val="single" w:sz="6" w:space="0" w:color="BFBFBF"/>
              <w:right w:val="single" w:sz="6" w:space="0" w:color="BFBFBF"/>
            </w:tcBorders>
            <w:shd w:val="clear" w:color="auto" w:fill="F2F2F2"/>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b/>
                <w:bCs/>
                <w:color w:val="000000"/>
                <w:sz w:val="20"/>
                <w:szCs w:val="20"/>
              </w:rPr>
              <w:t>Phiên bản</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1.0</w:t>
            </w:r>
          </w:p>
        </w:tc>
      </w:tr>
      <w:tr w:rsidR="00627DC6" w:rsidRPr="00627DC6" w:rsidTr="00627DC6">
        <w:trPr>
          <w:trHeight w:val="450"/>
        </w:trPr>
        <w:tc>
          <w:tcPr>
            <w:tcW w:w="0" w:type="auto"/>
            <w:tcBorders>
              <w:top w:val="single" w:sz="6" w:space="0" w:color="BFBFBF"/>
              <w:left w:val="single" w:sz="6" w:space="0" w:color="BFBFBF"/>
              <w:bottom w:val="single" w:sz="6" w:space="0" w:color="BFBFBF"/>
              <w:right w:val="single" w:sz="6" w:space="0" w:color="BFBFBF"/>
            </w:tcBorders>
            <w:shd w:val="clear" w:color="auto" w:fill="F2F2F2"/>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b/>
                <w:bCs/>
                <w:color w:val="000000"/>
                <w:sz w:val="20"/>
                <w:szCs w:val="20"/>
              </w:rPr>
              <w:t>Ngày ban hành</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17/9/2026</w:t>
            </w:r>
          </w:p>
        </w:tc>
      </w:tr>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shd w:val="clear" w:color="auto" w:fill="F2F2F2"/>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b/>
                <w:bCs/>
                <w:color w:val="000000"/>
                <w:sz w:val="20"/>
                <w:szCs w:val="20"/>
              </w:rPr>
              <w:t>Trạng thái</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Dự thảo — hợp nhất phạm vi từ 2 SRS: Quản lý Tuyển sinh SĐH &amp; Quản lý Đào tạo SĐH</w:t>
            </w:r>
          </w:p>
        </w:tc>
      </w:tr>
      <w:tr w:rsidR="00627DC6" w:rsidRPr="00627DC6" w:rsidTr="00627DC6">
        <w:trPr>
          <w:trHeight w:val="450"/>
        </w:trPr>
        <w:tc>
          <w:tcPr>
            <w:tcW w:w="0" w:type="auto"/>
            <w:tcBorders>
              <w:top w:val="single" w:sz="6" w:space="0" w:color="BFBFBF"/>
              <w:left w:val="single" w:sz="6" w:space="0" w:color="BFBFBF"/>
              <w:bottom w:val="single" w:sz="6" w:space="0" w:color="BFBFBF"/>
              <w:right w:val="single" w:sz="6" w:space="0" w:color="BFBFBF"/>
            </w:tcBorders>
            <w:shd w:val="clear" w:color="auto" w:fill="F2F2F2"/>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b/>
                <w:bCs/>
                <w:color w:val="000000"/>
                <w:sz w:val="20"/>
                <w:szCs w:val="20"/>
              </w:rPr>
              <w:t>Căn cứ pháp lý chính</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Thông tư 53/2026/TT-BGDĐT; Nghị định 13/2023/NĐ-CP</w:t>
            </w:r>
          </w:p>
        </w:tc>
      </w:tr>
    </w:tbl>
    <w:p w:rsidR="00627DC6" w:rsidRPr="00627DC6" w:rsidRDefault="00627DC6" w:rsidP="00627DC6">
      <w:pPr>
        <w:spacing w:before="380" w:after="180" w:line="240" w:lineRule="auto"/>
        <w:outlineLvl w:val="0"/>
        <w:rPr>
          <w:rFonts w:ascii="Times New Roman" w:eastAsia="Times New Roman" w:hAnsi="Times New Roman" w:cs="Times New Roman"/>
          <w:b/>
          <w:bCs/>
          <w:kern w:val="36"/>
          <w:sz w:val="48"/>
          <w:szCs w:val="48"/>
        </w:rPr>
      </w:pPr>
      <w:r w:rsidRPr="00627DC6">
        <w:rPr>
          <w:rFonts w:ascii="Arial" w:eastAsia="Times New Roman" w:hAnsi="Arial" w:cs="Arial"/>
          <w:b/>
          <w:bCs/>
          <w:color w:val="1F4E79"/>
          <w:kern w:val="36"/>
          <w:sz w:val="28"/>
          <w:szCs w:val="28"/>
        </w:rPr>
        <w:t>1. BỐI CẢNH &amp; MỤC TIÊU DỰ ÁN</w:t>
      </w:r>
    </w:p>
    <w:p w:rsidR="00627DC6" w:rsidRPr="00627DC6" w:rsidRDefault="00627DC6" w:rsidP="00627DC6">
      <w:pPr>
        <w:spacing w:before="260" w:after="140" w:line="240" w:lineRule="auto"/>
        <w:outlineLvl w:val="1"/>
        <w:rPr>
          <w:rFonts w:ascii="Times New Roman" w:eastAsia="Times New Roman" w:hAnsi="Times New Roman" w:cs="Times New Roman"/>
          <w:b/>
          <w:bCs/>
          <w:sz w:val="36"/>
          <w:szCs w:val="36"/>
        </w:rPr>
      </w:pPr>
      <w:r w:rsidRPr="00627DC6">
        <w:rPr>
          <w:rFonts w:ascii="Arial" w:eastAsia="Times New Roman" w:hAnsi="Arial" w:cs="Arial"/>
          <w:b/>
          <w:bCs/>
          <w:color w:val="2E5C8A"/>
          <w:sz w:val="26"/>
          <w:szCs w:val="26"/>
        </w:rPr>
        <w:t>1.1. Bối cảnh</w:t>
      </w:r>
    </w:p>
    <w:p w:rsidR="00627DC6" w:rsidRPr="00627DC6" w:rsidRDefault="00627DC6" w:rsidP="00627DC6">
      <w:pPr>
        <w:spacing w:after="16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Quy trình tuyển sinh và quản lý đào tạo sau đại học tại cơ sở đào tạo hiện phụ thuộc nhiều vào hồ sơ giấy, nhập liệu thủ công, trao đổi qua email/kênh không chính thức. Hệ quả: tốn thời gian xử lý, dễ sai sót, khó theo dõi tiến độ xuyên suốt từ lúc thí sinh nộp hồ sơ đến khi nghiên cứu sinh (NCS) tốt nghiệp, và khó tuân thủ đầy đủ các mốc thời hạn theo quy chế (ví dụ thời hạn duyệt đề tài luận án, thời hạn phản biện độc lập, thời hạn khóa sổ điểm).</w:t>
      </w:r>
    </w:p>
    <w:p w:rsidR="00627DC6" w:rsidRPr="00627DC6" w:rsidRDefault="00627DC6" w:rsidP="00627DC6">
      <w:pPr>
        <w:spacing w:before="260" w:after="140" w:line="240" w:lineRule="auto"/>
        <w:outlineLvl w:val="1"/>
        <w:rPr>
          <w:rFonts w:ascii="Times New Roman" w:eastAsia="Times New Roman" w:hAnsi="Times New Roman" w:cs="Times New Roman"/>
          <w:b/>
          <w:bCs/>
          <w:sz w:val="36"/>
          <w:szCs w:val="36"/>
        </w:rPr>
      </w:pPr>
      <w:r w:rsidRPr="00627DC6">
        <w:rPr>
          <w:rFonts w:ascii="Arial" w:eastAsia="Times New Roman" w:hAnsi="Arial" w:cs="Arial"/>
          <w:b/>
          <w:bCs/>
          <w:color w:val="2E5C8A"/>
          <w:sz w:val="26"/>
          <w:szCs w:val="26"/>
        </w:rPr>
        <w:t>1.2. Mục tiêu dự án</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Số hóa toàn bộ vòng đời của một người học sau đại học — từ đăng ký dự tuyển đến tốt nghiệp — trên một nền tảng Web Admin &amp; Lecturer Portal thống nhất.</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Bảo đảm tính minh bạch, chính xác và khả năng truy xuất (traceability) cho mọi bước phê duyệt, thay đổi trạng thái và quyết định hành chính.</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lastRenderedPageBreak/>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Giảm tải thao tác thủ công cho cán bộ tuyển sinh, cán bộ đào tạo sau đại học và giảng viên hướng dẫn.</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Cho phép cấu hình các quy tắc nghiệp vụ (chỉ tiêu, thời hạn, thành phần hội đồng...) mà không cần sửa mã nguồn, do các quy tắc này thường thay đổi theo quy chế ban hành hằng năm.</w:t>
      </w:r>
    </w:p>
    <w:p w:rsidR="00627DC6" w:rsidRPr="00627DC6" w:rsidRDefault="00627DC6" w:rsidP="00627DC6">
      <w:pPr>
        <w:spacing w:before="260" w:after="140" w:line="240" w:lineRule="auto"/>
        <w:outlineLvl w:val="1"/>
        <w:rPr>
          <w:rFonts w:ascii="Times New Roman" w:eastAsia="Times New Roman" w:hAnsi="Times New Roman" w:cs="Times New Roman"/>
          <w:b/>
          <w:bCs/>
          <w:sz w:val="36"/>
          <w:szCs w:val="36"/>
        </w:rPr>
      </w:pPr>
      <w:r w:rsidRPr="00627DC6">
        <w:rPr>
          <w:rFonts w:ascii="Arial" w:eastAsia="Times New Roman" w:hAnsi="Arial" w:cs="Arial"/>
          <w:b/>
          <w:bCs/>
          <w:color w:val="2E5C8A"/>
          <w:sz w:val="34"/>
          <w:szCs w:val="34"/>
        </w:rPr>
        <w:t>1.3. Lợi ích kỳ vọng</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Rút ngắn thời gian xử lý hồ sơ tuyển sinh và ra quyết định học thuật.</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Giảm rủi ro trễ hạn các mốc bắt buộc theo quy chế (Thông tư 53/2026/TT-BGDĐT) nhờ cảnh báo tự động.</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Có dữ liệu tập trung phục vụ báo cáo, thống kê, kiểm tra/hậu kiểm và đồng bộ với hệ thống CSDL chuyên ngành giáo dục đại học của Bộ GD&amp;ĐT.</w:t>
      </w:r>
    </w:p>
    <w:p w:rsidR="00627DC6" w:rsidRPr="00627DC6" w:rsidRDefault="00627DC6" w:rsidP="00627DC6">
      <w:pPr>
        <w:spacing w:before="380" w:after="180" w:line="240" w:lineRule="auto"/>
        <w:outlineLvl w:val="0"/>
        <w:rPr>
          <w:rFonts w:ascii="Times New Roman" w:eastAsia="Times New Roman" w:hAnsi="Times New Roman" w:cs="Times New Roman"/>
          <w:b/>
          <w:bCs/>
          <w:kern w:val="36"/>
          <w:sz w:val="48"/>
          <w:szCs w:val="48"/>
        </w:rPr>
      </w:pPr>
      <w:r w:rsidRPr="00627DC6">
        <w:rPr>
          <w:rFonts w:ascii="Arial" w:eastAsia="Times New Roman" w:hAnsi="Arial" w:cs="Arial"/>
          <w:b/>
          <w:bCs/>
          <w:color w:val="1F4E79"/>
          <w:kern w:val="36"/>
          <w:sz w:val="30"/>
          <w:szCs w:val="30"/>
        </w:rPr>
        <w:t>2. CẤU TRÚC HỆ THỐNG — HAI PHÂN HỆ</w:t>
      </w:r>
    </w:p>
    <w:p w:rsidR="00627DC6" w:rsidRPr="00627DC6" w:rsidRDefault="00627DC6" w:rsidP="00627DC6">
      <w:pPr>
        <w:spacing w:after="16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Dự án được chia thành 2 phân hệ nghiệp vụ, mỗi phân hệ có SRS riêng, nối tiếp nhau theo vòng đời người học:</w:t>
      </w:r>
    </w:p>
    <w:p w:rsidR="00627DC6" w:rsidRPr="00627DC6" w:rsidRDefault="00627DC6" w:rsidP="00627DC6">
      <w:pPr>
        <w:spacing w:after="160" w:line="240" w:lineRule="auto"/>
        <w:rPr>
          <w:rFonts w:ascii="Times New Roman" w:eastAsia="Times New Roman" w:hAnsi="Times New Roman" w:cs="Times New Roman"/>
          <w:sz w:val="24"/>
          <w:szCs w:val="24"/>
        </w:rPr>
      </w:pPr>
      <w:r w:rsidRPr="00627DC6">
        <w:rPr>
          <w:rFonts w:ascii="Arial" w:eastAsia="Times New Roman" w:hAnsi="Arial" w:cs="Arial"/>
          <w:b/>
          <w:bCs/>
          <w:color w:val="000000"/>
          <w:sz w:val="26"/>
          <w:szCs w:val="26"/>
        </w:rPr>
        <w:t>Đăng ký dự tuyển</w:t>
      </w:r>
      <w:r w:rsidRPr="00627DC6">
        <w:rPr>
          <w:rFonts w:ascii="Arial" w:eastAsia="Times New Roman" w:hAnsi="Arial" w:cs="Arial"/>
          <w:color w:val="000000"/>
          <w:sz w:val="26"/>
          <w:szCs w:val="26"/>
        </w:rPr>
        <w:t xml:space="preserve"> → </w:t>
      </w:r>
      <w:r w:rsidRPr="00627DC6">
        <w:rPr>
          <w:rFonts w:ascii="Arial" w:eastAsia="Times New Roman" w:hAnsi="Arial" w:cs="Arial"/>
          <w:b/>
          <w:bCs/>
          <w:color w:val="000000"/>
          <w:sz w:val="26"/>
          <w:szCs w:val="26"/>
        </w:rPr>
        <w:t>Xét tuyển</w:t>
      </w:r>
      <w:r w:rsidRPr="00627DC6">
        <w:rPr>
          <w:rFonts w:ascii="Arial" w:eastAsia="Times New Roman" w:hAnsi="Arial" w:cs="Arial"/>
          <w:color w:val="000000"/>
          <w:sz w:val="26"/>
          <w:szCs w:val="26"/>
        </w:rPr>
        <w:t xml:space="preserve"> → </w:t>
      </w:r>
      <w:r w:rsidRPr="00627DC6">
        <w:rPr>
          <w:rFonts w:ascii="Arial" w:eastAsia="Times New Roman" w:hAnsi="Arial" w:cs="Arial"/>
          <w:b/>
          <w:bCs/>
          <w:color w:val="000000"/>
          <w:sz w:val="26"/>
          <w:szCs w:val="26"/>
        </w:rPr>
        <w:t>Trúng tuyển / Nhập học</w:t>
      </w:r>
      <w:r w:rsidRPr="00627DC6">
        <w:rPr>
          <w:rFonts w:ascii="Arial" w:eastAsia="Times New Roman" w:hAnsi="Arial" w:cs="Arial"/>
          <w:color w:val="000000"/>
          <w:sz w:val="26"/>
          <w:szCs w:val="26"/>
        </w:rPr>
        <w:t xml:space="preserve"> → </w:t>
      </w:r>
      <w:r w:rsidRPr="00627DC6">
        <w:rPr>
          <w:rFonts w:ascii="Arial" w:eastAsia="Times New Roman" w:hAnsi="Arial" w:cs="Arial"/>
          <w:b/>
          <w:bCs/>
          <w:color w:val="000000"/>
          <w:sz w:val="26"/>
          <w:szCs w:val="26"/>
        </w:rPr>
        <w:t>(bàn giao)</w:t>
      </w:r>
      <w:r w:rsidRPr="00627DC6">
        <w:rPr>
          <w:rFonts w:ascii="Arial" w:eastAsia="Times New Roman" w:hAnsi="Arial" w:cs="Arial"/>
          <w:color w:val="000000"/>
          <w:sz w:val="26"/>
          <w:szCs w:val="26"/>
        </w:rPr>
        <w:t xml:space="preserve"> → </w:t>
      </w:r>
      <w:r w:rsidRPr="00627DC6">
        <w:rPr>
          <w:rFonts w:ascii="Arial" w:eastAsia="Times New Roman" w:hAnsi="Arial" w:cs="Arial"/>
          <w:b/>
          <w:bCs/>
          <w:color w:val="000000"/>
          <w:sz w:val="26"/>
          <w:szCs w:val="26"/>
        </w:rPr>
        <w:t>Đào tạo (GVHD, hội đồng, điểm, tiến độ)</w:t>
      </w:r>
      <w:r w:rsidRPr="00627DC6">
        <w:rPr>
          <w:rFonts w:ascii="Arial" w:eastAsia="Times New Roman" w:hAnsi="Arial" w:cs="Arial"/>
          <w:color w:val="000000"/>
          <w:sz w:val="26"/>
          <w:szCs w:val="26"/>
        </w:rPr>
        <w:t xml:space="preserve"> → </w:t>
      </w:r>
      <w:r w:rsidRPr="00627DC6">
        <w:rPr>
          <w:rFonts w:ascii="Arial" w:eastAsia="Times New Roman" w:hAnsi="Arial" w:cs="Arial"/>
          <w:b/>
          <w:bCs/>
          <w:color w:val="000000"/>
          <w:sz w:val="26"/>
          <w:szCs w:val="26"/>
        </w:rPr>
        <w:t>Tốt nghiệp / Cấp bằng</w:t>
      </w:r>
    </w:p>
    <w:p w:rsidR="00627DC6" w:rsidRPr="00627DC6" w:rsidRDefault="00627DC6" w:rsidP="00627DC6">
      <w:pPr>
        <w:spacing w:before="260" w:after="140" w:line="240" w:lineRule="auto"/>
        <w:outlineLvl w:val="1"/>
        <w:rPr>
          <w:rFonts w:ascii="Times New Roman" w:eastAsia="Times New Roman" w:hAnsi="Times New Roman" w:cs="Times New Roman"/>
          <w:b/>
          <w:bCs/>
          <w:sz w:val="36"/>
          <w:szCs w:val="36"/>
        </w:rPr>
      </w:pPr>
      <w:r w:rsidRPr="00627DC6">
        <w:rPr>
          <w:rFonts w:ascii="Arial" w:eastAsia="Times New Roman" w:hAnsi="Arial" w:cs="Arial"/>
          <w:b/>
          <w:bCs/>
          <w:color w:val="2E5C8A"/>
          <w:sz w:val="34"/>
          <w:szCs w:val="34"/>
        </w:rPr>
        <w:t>2.1. Phân hệ 1 — Quản lý Tuyển sinh Sau đại học</w:t>
      </w:r>
    </w:p>
    <w:tbl>
      <w:tblPr>
        <w:tblW w:w="0" w:type="auto"/>
        <w:tblCellMar>
          <w:top w:w="15" w:type="dxa"/>
          <w:left w:w="15" w:type="dxa"/>
          <w:bottom w:w="15" w:type="dxa"/>
          <w:right w:w="15" w:type="dxa"/>
        </w:tblCellMar>
        <w:tblLook w:val="04A0" w:firstRow="1" w:lastRow="0" w:firstColumn="1" w:lastColumn="0" w:noHBand="0" w:noVBand="1"/>
      </w:tblPr>
      <w:tblGrid>
        <w:gridCol w:w="1902"/>
        <w:gridCol w:w="7658"/>
      </w:tblGrid>
      <w:tr w:rsidR="00627DC6" w:rsidRPr="00627DC6" w:rsidTr="00627DC6">
        <w:trPr>
          <w:trHeight w:val="420"/>
        </w:trPr>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Thuộc tính</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Nội dung</w:t>
            </w:r>
          </w:p>
        </w:tc>
      </w:tr>
      <w:tr w:rsidR="00627DC6" w:rsidRPr="00627DC6" w:rsidTr="00627DC6">
        <w:trPr>
          <w:trHeight w:val="45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Điểm bắt đầu</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Thí sinh tạo tài khoản và đăng ký dự tuyển.</w:t>
            </w:r>
          </w:p>
        </w:tc>
      </w:tr>
      <w:tr w:rsidR="00627DC6" w:rsidRPr="00627DC6" w:rsidTr="00627DC6">
        <w:trPr>
          <w:trHeight w:val="45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Điểm kết thúc</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Thí sinh xác nhận nhập học thành công (hoặc bảo lưu/hủy trúng tuyển).</w:t>
            </w:r>
          </w:p>
        </w:tc>
      </w:tr>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Actor chính</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Thí sinh (Thạc sĩ/NCS Tiến sĩ), Cán bộ tuyển sinh, Hội đồng tuyển sinh, Lãnh đạo Khoa/Viện, Ban Giám hiệu.</w:t>
            </w:r>
          </w:p>
        </w:tc>
      </w:tr>
      <w:tr w:rsidR="00627DC6" w:rsidRPr="00627DC6" w:rsidTr="00627DC6">
        <w:trPr>
          <w:trHeight w:val="93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Nhóm nghiệp vụ (6 nhóm, 26 FR)</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Danh mục &amp; cấu hình; Đăng ký &amp; hồ sơ dự tuyển; Tổ chức xét tuyển/thi tuyển; Xét trúng tuyển &amp; ra quyết định; Nhập học &amp; sau tuyển sinh; Báo cáo &amp; quản trị hệ thống.</w:t>
            </w:r>
          </w:p>
        </w:tc>
      </w:tr>
      <w:tr w:rsidR="00627DC6" w:rsidRPr="00627DC6" w:rsidTr="00627DC6">
        <w:trPr>
          <w:trHeight w:val="45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Tài liệu tham chiếu</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SRS "Hệ thống Quản lý Tuyển sinh Sau đại học" v1.0</w:t>
            </w:r>
          </w:p>
        </w:tc>
      </w:tr>
    </w:tbl>
    <w:p w:rsidR="00627DC6" w:rsidRPr="00627DC6" w:rsidRDefault="00627DC6" w:rsidP="00627DC6">
      <w:pPr>
        <w:spacing w:before="260" w:after="140" w:line="240" w:lineRule="auto"/>
        <w:outlineLvl w:val="1"/>
        <w:rPr>
          <w:rFonts w:ascii="Times New Roman" w:eastAsia="Times New Roman" w:hAnsi="Times New Roman" w:cs="Times New Roman"/>
          <w:b/>
          <w:bCs/>
          <w:sz w:val="36"/>
          <w:szCs w:val="36"/>
        </w:rPr>
      </w:pPr>
      <w:r w:rsidRPr="00627DC6">
        <w:rPr>
          <w:rFonts w:ascii="Arial" w:eastAsia="Times New Roman" w:hAnsi="Arial" w:cs="Arial"/>
          <w:b/>
          <w:bCs/>
          <w:color w:val="2E5C8A"/>
          <w:sz w:val="34"/>
          <w:szCs w:val="34"/>
        </w:rPr>
        <w:t>2.2. Phân hệ 2 — Quản lý Đào tạo Sau đại học</w:t>
      </w:r>
    </w:p>
    <w:tbl>
      <w:tblPr>
        <w:tblW w:w="0" w:type="auto"/>
        <w:tblCellMar>
          <w:top w:w="15" w:type="dxa"/>
          <w:left w:w="15" w:type="dxa"/>
          <w:bottom w:w="15" w:type="dxa"/>
          <w:right w:w="15" w:type="dxa"/>
        </w:tblCellMar>
        <w:tblLook w:val="04A0" w:firstRow="1" w:lastRow="0" w:firstColumn="1" w:lastColumn="0" w:noHBand="0" w:noVBand="1"/>
      </w:tblPr>
      <w:tblGrid>
        <w:gridCol w:w="2056"/>
        <w:gridCol w:w="7504"/>
      </w:tblGrid>
      <w:tr w:rsidR="00627DC6" w:rsidRPr="00627DC6" w:rsidTr="00627DC6">
        <w:trPr>
          <w:trHeight w:val="420"/>
        </w:trPr>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lastRenderedPageBreak/>
              <w:t>Thuộc tính</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Nội dung</w:t>
            </w:r>
          </w:p>
        </w:tc>
      </w:tr>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Điểm bắt đầu</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Nhận hồ sơ người học đã nhập học từ Phân hệ 1 (có quyết định công nhận NCS/học viên).</w:t>
            </w:r>
          </w:p>
        </w:tc>
      </w:tr>
      <w:tr w:rsidR="00627DC6" w:rsidRPr="00627DC6" w:rsidTr="00627DC6">
        <w:trPr>
          <w:trHeight w:val="45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Điểm kết thúc</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Quyết định công nhận tốt nghiệp và cấp bằng đã ký số, ban hành.</w:t>
            </w:r>
          </w:p>
        </w:tc>
      </w:tr>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Actor chính</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Cán bộ Phòng Đào tạo SĐH, GVHD, NCS/học viên, các loại Hội đồng, Lãnh đạo Khoa/Viện, Ban Giám hiệu.</w:t>
            </w:r>
          </w:p>
        </w:tc>
      </w:tr>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Nhóm nghiệp vụ (6 nhóm, 23 FR)</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Quản lý GVHD; Thành lập &amp; quản lý Hội đồng; Quản lý điểm; Theo dõi &amp; duyệt tiến độ NCS; Tạo quyết định &amp; ký số; Báo cáo &amp; quản trị hệ thống.</w:t>
            </w:r>
          </w:p>
        </w:tc>
      </w:tr>
      <w:tr w:rsidR="00627DC6" w:rsidRPr="00627DC6" w:rsidTr="00627DC6">
        <w:trPr>
          <w:trHeight w:val="45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Tài liệu tham chiếu</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SRS "Hệ thống Quản lý Đào tạo Sau đại học" v1.0</w:t>
            </w:r>
          </w:p>
        </w:tc>
      </w:tr>
    </w:tbl>
    <w:p w:rsidR="00627DC6" w:rsidRPr="00627DC6" w:rsidRDefault="00627DC6" w:rsidP="00627DC6">
      <w:pPr>
        <w:spacing w:before="260" w:after="140" w:line="240" w:lineRule="auto"/>
        <w:outlineLvl w:val="1"/>
        <w:rPr>
          <w:rFonts w:ascii="Times New Roman" w:eastAsia="Times New Roman" w:hAnsi="Times New Roman" w:cs="Times New Roman"/>
          <w:b/>
          <w:bCs/>
          <w:sz w:val="36"/>
          <w:szCs w:val="36"/>
        </w:rPr>
      </w:pPr>
      <w:r w:rsidRPr="00627DC6">
        <w:rPr>
          <w:rFonts w:ascii="Arial" w:eastAsia="Times New Roman" w:hAnsi="Arial" w:cs="Arial"/>
          <w:b/>
          <w:bCs/>
          <w:color w:val="2E5C8A"/>
          <w:sz w:val="34"/>
          <w:szCs w:val="34"/>
        </w:rPr>
        <w:t>2.3. Điểm bàn giao dữ liệu giữa hai phân hệ</w:t>
      </w:r>
    </w:p>
    <w:tbl>
      <w:tblPr>
        <w:tblW w:w="0" w:type="auto"/>
        <w:tblCellMar>
          <w:top w:w="15" w:type="dxa"/>
          <w:left w:w="15" w:type="dxa"/>
          <w:bottom w:w="15" w:type="dxa"/>
          <w:right w:w="15" w:type="dxa"/>
        </w:tblCellMar>
        <w:tblLook w:val="04A0" w:firstRow="1" w:lastRow="0" w:firstColumn="1" w:lastColumn="0" w:noHBand="0" w:noVBand="1"/>
      </w:tblPr>
      <w:tblGrid>
        <w:gridCol w:w="2070"/>
        <w:gridCol w:w="3594"/>
        <w:gridCol w:w="3896"/>
      </w:tblGrid>
      <w:tr w:rsidR="00627DC6" w:rsidRPr="00627DC6" w:rsidTr="00627DC6">
        <w:trPr>
          <w:trHeight w:val="420"/>
        </w:trPr>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Thời điểm</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Dữ liệu bàn giao</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Cơ chế</w:t>
            </w:r>
          </w:p>
        </w:tc>
      </w:tr>
      <w:tr w:rsidR="00627DC6" w:rsidRPr="00627DC6" w:rsidTr="00627DC6">
        <w:trPr>
          <w:trHeight w:val="141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Sau khi có quyết định trúng tuyển &amp; xác nhận nhập học (Phân hệ 1 → 2)</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Mã hồ sơ/mã người học, họ tên, ngành, bậc đào tạo (ThS/TS), khóa/đợt, đề xuất hướng nghiên cứu và GVHD dự kiến (nếu có, riêng bậc Tiến sĩ)</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Tích hợp API nội bộ hoặc đồng bộ CSDL dùng chung; ghi log thời điểm bàn giao</w:t>
            </w:r>
          </w:p>
        </w:tc>
      </w:tr>
      <w:tr w:rsidR="00627DC6" w:rsidRPr="00627DC6" w:rsidTr="00627DC6">
        <w:trPr>
          <w:trHeight w:val="117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Trong suốt quá trình đào tạo (Phân hệ 2 → CSDL GDĐH)</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Quyết định công nhận NCS, người hướng dẫn, kết quả học tập, dữ liệu luận văn/luận án, văn bằng</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Đồng bộ định kỳ/theo thời hạn quy định với hệ thống CSDL chuyên ngành GDĐH của Bộ GD&amp;ĐT (Điều 26, 33 — Quy chế kèm TT 53/2026/TT-BGDĐT)</w:t>
            </w:r>
          </w:p>
        </w:tc>
      </w:tr>
    </w:tbl>
    <w:p w:rsidR="00627DC6" w:rsidRPr="00627DC6" w:rsidRDefault="00627DC6" w:rsidP="00627DC6">
      <w:pPr>
        <w:spacing w:before="380" w:after="180" w:line="240" w:lineRule="auto"/>
        <w:outlineLvl w:val="0"/>
        <w:rPr>
          <w:rFonts w:ascii="Times New Roman" w:eastAsia="Times New Roman" w:hAnsi="Times New Roman" w:cs="Times New Roman"/>
          <w:b/>
          <w:bCs/>
          <w:kern w:val="36"/>
          <w:sz w:val="48"/>
          <w:szCs w:val="48"/>
        </w:rPr>
      </w:pPr>
      <w:r w:rsidRPr="00627DC6">
        <w:rPr>
          <w:rFonts w:ascii="Arial" w:eastAsia="Times New Roman" w:hAnsi="Arial" w:cs="Arial"/>
          <w:b/>
          <w:bCs/>
          <w:color w:val="1F4E79"/>
          <w:kern w:val="36"/>
          <w:sz w:val="30"/>
          <w:szCs w:val="30"/>
        </w:rPr>
        <w:t>3. TRONG PHẠM VI DỰ ÁN</w:t>
      </w:r>
    </w:p>
    <w:p w:rsidR="00627DC6" w:rsidRPr="00627DC6" w:rsidRDefault="00627DC6" w:rsidP="00627DC6">
      <w:pPr>
        <w:spacing w:before="260" w:after="140" w:line="240" w:lineRule="auto"/>
        <w:outlineLvl w:val="1"/>
        <w:rPr>
          <w:rFonts w:ascii="Times New Roman" w:eastAsia="Times New Roman" w:hAnsi="Times New Roman" w:cs="Times New Roman"/>
          <w:b/>
          <w:bCs/>
          <w:sz w:val="36"/>
          <w:szCs w:val="36"/>
        </w:rPr>
      </w:pPr>
      <w:r w:rsidRPr="00627DC6">
        <w:rPr>
          <w:rFonts w:ascii="Arial" w:eastAsia="Times New Roman" w:hAnsi="Arial" w:cs="Arial"/>
          <w:b/>
          <w:bCs/>
          <w:color w:val="2E5C8A"/>
          <w:sz w:val="34"/>
          <w:szCs w:val="34"/>
        </w:rPr>
        <w:t>3.1. Nghiệp vụ Tuyển sinh (Phân hệ 1)</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Quản lý danh mục &amp; cấu hình: đợt tuyển sinh, ngành/chuyên ngành, chỉ tiêu, hội đồng tuyển sinh, danh mục môn thi.</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Đăng ký &amp; hồ sơ dự tuyển: tạo tài khoản, xác thực OTP, kê khai hồ sơ, nộp minh chứng, kiểm tra điều kiện đầu vào, thẩm định &amp; duyệt hồ sơ, nộp lệ phí trực tuyến.</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Tổ chức xét tuyển/thi tuyển: xếp phòng thi, xét tuyển hồ sơ Tiến sĩ, tổ chức phỏng vấn, nhập điểm thi/đánh giá, phúc khảo.</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lastRenderedPageBreak/>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Xét trúng tuyển &amp; ra quyết định: xét điểm chuẩn, duyệt danh sách trúng tuyển, công bố kết quả, ra quyết định trúng tuyển (ký số), phân công người hướng dẫn ban đầu (đề xuất, chưa phải duyệt chính thức).</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Nhập học &amp; sau tuyển sinh: xác nhận nhập học, xếp lớp/khóa học, quản lý bảo lưu/hủy trúng tuyển.</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Báo cáo &amp; quản trị: thống kê tuyển sinh, quản lý người dùng &amp; phân quyền, tra cứu/khiếu nại, nhật ký hệ thống.</w:t>
      </w:r>
    </w:p>
    <w:p w:rsidR="00627DC6" w:rsidRPr="00627DC6" w:rsidRDefault="00627DC6" w:rsidP="00627DC6">
      <w:pPr>
        <w:spacing w:before="260" w:after="140" w:line="240" w:lineRule="auto"/>
        <w:outlineLvl w:val="1"/>
        <w:rPr>
          <w:rFonts w:ascii="Times New Roman" w:eastAsia="Times New Roman" w:hAnsi="Times New Roman" w:cs="Times New Roman"/>
          <w:b/>
          <w:bCs/>
          <w:sz w:val="36"/>
          <w:szCs w:val="36"/>
        </w:rPr>
      </w:pPr>
      <w:r w:rsidRPr="00627DC6">
        <w:rPr>
          <w:rFonts w:ascii="Arial" w:eastAsia="Times New Roman" w:hAnsi="Arial" w:cs="Arial"/>
          <w:b/>
          <w:bCs/>
          <w:color w:val="2E5C8A"/>
          <w:sz w:val="34"/>
          <w:szCs w:val="34"/>
        </w:rPr>
        <w:t>3.2. Nghiệp vụ Đào tạo (Phân hệ 2)</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Quản lý GVHD: duyệt hồ sơ đăng ký GVHD theo tiêu chuẩn quy chế, phân công GVHD chính thức, quản lý thay đổi GVHD/đề tài, theo dõi tải hướng dẫn tối đa.</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Thành lập &amp; quản lý Hội đồng: hội đồng đánh giá luận văn (Thạc sĩ), hội đồng đánh giá luận án (Tiến sĩ), phản biện độc lập, hội đồng thẩm định, ghi biên bản &amp; kết quả bảo vệ.</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Quản lý điểm: nhập điểm học phần, khóa sổ điểm theo đợt/học kỳ, công nhận &amp; chuyển đổi tín chỉ.</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Theo dõi &amp; duyệt tiến độ NCS: lập &amp; duyệt kế hoạch toàn khóa, xác nhận đề tài luận án, báo cáo tiến độ định kỳ, theo dõi luồng đánh giá luận án, xử lý gia hạn/tạm dừng/bảo lưu/buộc thôi học.</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Tạo quyết định &amp; ký số: sinh quyết định học thuật từ mẫu (công nhận NCS, giao GVHD, thành lập hội đồng, công nhận tốt nghiệp), ký số và ban hành.</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Báo cáo &amp; quản trị: thống kê đào tạo, đồng bộ CSDL GDĐH, quản lý người dùng &amp; phân quyền, nhật ký hệ thống.</w:t>
      </w:r>
    </w:p>
    <w:p w:rsidR="00627DC6" w:rsidRPr="00627DC6" w:rsidRDefault="00627DC6" w:rsidP="00627DC6">
      <w:pPr>
        <w:spacing w:before="260" w:after="140" w:line="240" w:lineRule="auto"/>
        <w:outlineLvl w:val="1"/>
        <w:rPr>
          <w:rFonts w:ascii="Times New Roman" w:eastAsia="Times New Roman" w:hAnsi="Times New Roman" w:cs="Times New Roman"/>
          <w:b/>
          <w:bCs/>
          <w:sz w:val="36"/>
          <w:szCs w:val="36"/>
        </w:rPr>
      </w:pPr>
      <w:r w:rsidRPr="00627DC6">
        <w:rPr>
          <w:rFonts w:ascii="Arial" w:eastAsia="Times New Roman" w:hAnsi="Arial" w:cs="Arial"/>
          <w:b/>
          <w:bCs/>
          <w:color w:val="2E5C8A"/>
          <w:sz w:val="34"/>
          <w:szCs w:val="34"/>
        </w:rPr>
        <w:t>3.3. Nghiệp vụ &amp; hạ tầng dùng chung cho cả hai phân hệ</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Quản lý người dùng &amp; phân quyền theo vai trò (RBAC) áp dụng thống nhất cho cả hai phân hệ.</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Nhật ký hệ thống (audit log) ghi nhận mọi thao tác quan trọng xuyên suốt vòng đời hồ sơ.</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Tích hợp bên thứ ba: cổng thanh toán trực tuyến, SMS/Email Gateway, dịch vụ chữ ký số, API/tra cứu văn bằng chứng chỉ, hệ thống CSDL chuyên ngành giáo dục đại học.</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Cơ chế cấu hình tập trung cho các quy tắc nghiệp vụ có thể thay đổi theo năm/đợt (chỉ tiêu, thời hạn, thành phần hội đồng, tiêu chuẩn GVHD...).</w:t>
      </w:r>
    </w:p>
    <w:p w:rsidR="00627DC6" w:rsidRPr="00627DC6" w:rsidRDefault="00627DC6" w:rsidP="00627DC6">
      <w:pPr>
        <w:spacing w:after="240" w:line="240" w:lineRule="auto"/>
        <w:rPr>
          <w:rFonts w:ascii="Times New Roman" w:eastAsia="Times New Roman" w:hAnsi="Times New Roman" w:cs="Times New Roman"/>
          <w:sz w:val="24"/>
          <w:szCs w:val="24"/>
        </w:rPr>
      </w:pPr>
      <w:r w:rsidRPr="00627DC6">
        <w:rPr>
          <w:rFonts w:ascii="Times New Roman" w:eastAsia="Times New Roman" w:hAnsi="Times New Roman" w:cs="Times New Roman"/>
          <w:sz w:val="24"/>
          <w:szCs w:val="24"/>
        </w:rPr>
        <w:br/>
      </w:r>
      <w:r w:rsidRPr="00627DC6">
        <w:rPr>
          <w:rFonts w:ascii="Times New Roman" w:eastAsia="Times New Roman" w:hAnsi="Times New Roman" w:cs="Times New Roman"/>
          <w:sz w:val="24"/>
          <w:szCs w:val="24"/>
        </w:rPr>
        <w:br/>
      </w:r>
      <w:r w:rsidRPr="00627DC6">
        <w:rPr>
          <w:rFonts w:ascii="Times New Roman" w:eastAsia="Times New Roman" w:hAnsi="Times New Roman" w:cs="Times New Roman"/>
          <w:sz w:val="24"/>
          <w:szCs w:val="24"/>
        </w:rPr>
        <w:lastRenderedPageBreak/>
        <w:br/>
      </w:r>
    </w:p>
    <w:p w:rsidR="00627DC6" w:rsidRPr="00627DC6" w:rsidRDefault="00627DC6" w:rsidP="00627DC6">
      <w:pPr>
        <w:spacing w:before="380" w:after="180" w:line="240" w:lineRule="auto"/>
        <w:outlineLvl w:val="0"/>
        <w:rPr>
          <w:rFonts w:ascii="Times New Roman" w:eastAsia="Times New Roman" w:hAnsi="Times New Roman" w:cs="Times New Roman"/>
          <w:b/>
          <w:bCs/>
          <w:kern w:val="36"/>
          <w:sz w:val="48"/>
          <w:szCs w:val="48"/>
        </w:rPr>
      </w:pPr>
      <w:r w:rsidRPr="00627DC6">
        <w:rPr>
          <w:rFonts w:ascii="Arial" w:eastAsia="Times New Roman" w:hAnsi="Arial" w:cs="Arial"/>
          <w:b/>
          <w:bCs/>
          <w:color w:val="1F4E79"/>
          <w:kern w:val="36"/>
          <w:sz w:val="30"/>
          <w:szCs w:val="30"/>
        </w:rPr>
        <w:t>4. NGOÀI PHẠM VI DỰ ÁN</w:t>
      </w:r>
    </w:p>
    <w:tbl>
      <w:tblPr>
        <w:tblW w:w="0" w:type="auto"/>
        <w:tblCellMar>
          <w:top w:w="15" w:type="dxa"/>
          <w:left w:w="15" w:type="dxa"/>
          <w:bottom w:w="15" w:type="dxa"/>
          <w:right w:w="15" w:type="dxa"/>
        </w:tblCellMar>
        <w:tblLook w:val="04A0" w:firstRow="1" w:lastRow="0" w:firstColumn="1" w:lastColumn="0" w:noHBand="0" w:noVBand="1"/>
      </w:tblPr>
      <w:tblGrid>
        <w:gridCol w:w="4280"/>
        <w:gridCol w:w="5280"/>
      </w:tblGrid>
      <w:tr w:rsidR="00627DC6" w:rsidRPr="00627DC6" w:rsidTr="00627DC6">
        <w:trPr>
          <w:trHeight w:val="420"/>
        </w:trPr>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Hạng mục loại trừ</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Lý do / Căn cứ</w:t>
            </w:r>
          </w:p>
        </w:tc>
      </w:tr>
      <w:tr w:rsidR="00627DC6" w:rsidRPr="00627DC6" w:rsidTr="00627DC6">
        <w:trPr>
          <w:trHeight w:val="117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Tuyển sinh và đào tạo các chương trình chuyên sâu sau đại học thuộc lĩnh vực sức khỏe (bác sĩ nội trú, bác sĩ chuyên khoa)</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Quy chế kèm Thông tư 53/2026/TT-BGDĐT, Điều 1, Khoản 3: "Quy chế này không áp dụng đối với việc tuyển sinh và tổ chức đào tạo các chương trình đào tạo chuyên sâu sau đại học thuộc lĩnh vực sức khỏe cấp văn bằng bác sĩ nội trú, bác sĩ chuyên khoa..."</w:t>
            </w:r>
          </w:p>
        </w:tc>
      </w:tr>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Đào tạo trình độ đại học và các bậc đào tạo khác ngoài Thạc sĩ, Tiến sĩ</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Ngoài phạm vi điều chỉnh của Quy chế tuyển sinh và đào tạo sau đại học</w:t>
            </w:r>
          </w:p>
        </w:tc>
      </w:tr>
      <w:tr w:rsidR="00627DC6" w:rsidRPr="00627DC6" w:rsidTr="00627DC6">
        <w:trPr>
          <w:trHeight w:val="93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Quản lý học phí/học bổng dài hạn, quản lý thư viện, quản lý ký túc xá, quản lý cựu người học (alumni)</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Không thuộc nhóm "quản lý học thuật" theo phạm vi đã xác định; thuộc các hệ thống quản trị khác của trường (nếu có)</w:t>
            </w:r>
          </w:p>
        </w:tc>
      </w:tr>
      <w:tr w:rsidR="00627DC6" w:rsidRPr="00627DC6" w:rsidTr="00627DC6">
        <w:trPr>
          <w:trHeight w:val="93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Liên kết đào tạo trong nước/quốc tế (chương trình liên kết theo Điều 5 Quy chế)</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Nghiệp vụ đặc thù, phức tạp về chia sẻ trách nhiệm giữa cơ sở chủ trì/phối hợp — đề xuất xét ở giai đoạn 2 nếu phát sinh nhu cầu</w:t>
            </w:r>
          </w:p>
        </w:tc>
      </w:tr>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Chương trình đào tạo tích hợp liên thông (Điều 19 Quy chế)</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Chưa có yêu cầu triển khai từ stakeholder ở Giai đoạn 1; ghi nhận là hạng mục tiềm năng cho giai đoạn sau</w:t>
            </w:r>
          </w:p>
        </w:tc>
      </w:tr>
      <w:tr w:rsidR="00627DC6" w:rsidRPr="00627DC6" w:rsidTr="00627DC6">
        <w:trPr>
          <w:trHeight w:val="165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Các nghiệp vụ quản lý học thuật khác ngoài các mốc đã liệt kê ở Mục 3 (ví dụ quản lý seminar khoa học định kỳ không gắn với đánh giá luận án, quản lý đề tài nghiên cứu khoa học độc lập của giảng viên)</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Không nằm trong 6 nhóm nghiệp vụ đã thống nhất ở Giai đoạn 1 thu thập yêu cầu</w:t>
            </w:r>
          </w:p>
        </w:tc>
      </w:tr>
    </w:tbl>
    <w:p w:rsidR="00627DC6" w:rsidRPr="00627DC6" w:rsidRDefault="00627DC6" w:rsidP="00627DC6">
      <w:pPr>
        <w:spacing w:before="380" w:after="180" w:line="240" w:lineRule="auto"/>
        <w:outlineLvl w:val="0"/>
        <w:rPr>
          <w:rFonts w:ascii="Times New Roman" w:eastAsia="Times New Roman" w:hAnsi="Times New Roman" w:cs="Times New Roman"/>
          <w:b/>
          <w:bCs/>
          <w:kern w:val="36"/>
          <w:sz w:val="48"/>
          <w:szCs w:val="48"/>
        </w:rPr>
      </w:pPr>
      <w:r w:rsidRPr="00627DC6">
        <w:rPr>
          <w:rFonts w:ascii="Arial" w:eastAsia="Times New Roman" w:hAnsi="Arial" w:cs="Arial"/>
          <w:b/>
          <w:bCs/>
          <w:color w:val="1F4E79"/>
          <w:kern w:val="36"/>
          <w:sz w:val="30"/>
          <w:szCs w:val="30"/>
        </w:rPr>
        <w:t>5. ĐỐI TƯỢNG SỬ DỤNG HỆ THỐNG</w:t>
      </w:r>
    </w:p>
    <w:tbl>
      <w:tblPr>
        <w:tblW w:w="0" w:type="auto"/>
        <w:tblCellMar>
          <w:top w:w="15" w:type="dxa"/>
          <w:left w:w="15" w:type="dxa"/>
          <w:bottom w:w="15" w:type="dxa"/>
          <w:right w:w="15" w:type="dxa"/>
        </w:tblCellMar>
        <w:tblLook w:val="04A0" w:firstRow="1" w:lastRow="0" w:firstColumn="1" w:lastColumn="0" w:noHBand="0" w:noVBand="1"/>
      </w:tblPr>
      <w:tblGrid>
        <w:gridCol w:w="3836"/>
        <w:gridCol w:w="1478"/>
        <w:gridCol w:w="4246"/>
      </w:tblGrid>
      <w:tr w:rsidR="00627DC6" w:rsidRPr="00627DC6" w:rsidTr="00627DC6">
        <w:trPr>
          <w:trHeight w:val="420"/>
        </w:trPr>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Nhóm người dùng</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Phân hệ tương tác</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Vai trò chính</w:t>
            </w:r>
          </w:p>
        </w:tc>
      </w:tr>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Thí sinh (Thạc sĩ/NCS Tiến sĩ)</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Tuyển sinh</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Đăng ký, nộp hồ sơ, theo dõi trạng thái, khiếu nại/phúc khảo</w:t>
            </w:r>
          </w:p>
        </w:tc>
      </w:tr>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NCS / Học viên (đã nhập học)</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Đào tạo</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Báo cáo tiến độ, xem điểm, đăng ký đề tài</w:t>
            </w:r>
          </w:p>
        </w:tc>
      </w:tr>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lastRenderedPageBreak/>
              <w:t>Cán bộ tuyển sinh</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Tuyển sinh</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Thẩm định hồ sơ, tổ chức xét tuyển, ra quyết định trúng tuyển</w:t>
            </w:r>
          </w:p>
        </w:tc>
      </w:tr>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Cán bộ Phòng Đào tạo SĐH</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Đào tạo</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Duyệt GVHD, thành lập hội đồng, khóa sổ điểm, tạo quyết định học thuật</w:t>
            </w:r>
          </w:p>
        </w:tc>
      </w:tr>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Giảng viên hướng dẫn (GVHD)</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Đào tạo</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Xác nhận nhận hướng dẫn, theo dõi tiến độ NCS, đề xuất hội đồng</w:t>
            </w:r>
          </w:p>
        </w:tc>
      </w:tr>
      <w:tr w:rsidR="00627DC6" w:rsidRPr="00627DC6" w:rsidTr="00627DC6">
        <w:trPr>
          <w:trHeight w:val="93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Hội đồng (tuyển sinh / đánh giá / phản biện độc lập / thẩm định)</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Cả hai</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Chấm điểm, đánh giá, biểu quyết theo từng mốc</w:t>
            </w:r>
          </w:p>
        </w:tc>
      </w:tr>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Lãnh đạo Khoa/Viện</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Cả hai</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Duyệt chỉ tiêu, danh sách trúng tuyển, đề tài, hội đồng cấp khoa</w:t>
            </w:r>
          </w:p>
        </w:tc>
      </w:tr>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Ban Giám hiệu / Phòng KH-TC</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Cả hai</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Ký số quyết định, đối soát tài chính, xem báo cáo toàn trường</w:t>
            </w:r>
          </w:p>
        </w:tc>
      </w:tr>
      <w:tr w:rsidR="00627DC6" w:rsidRPr="00627DC6" w:rsidTr="00627DC6">
        <w:trPr>
          <w:trHeight w:val="69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Quản trị viên hệ thống</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Cả hai</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Quản lý người dùng, cấu hình danh mục, giám sát nhật ký, sao lưu</w:t>
            </w:r>
          </w:p>
        </w:tc>
      </w:tr>
      <w:tr w:rsidR="00627DC6" w:rsidRPr="00627DC6" w:rsidTr="00627DC6">
        <w:trPr>
          <w:trHeight w:val="93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Đơn vị xác thực chứng chỉ / Hệ thống CSDL GDĐH (bên ngoài)</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Cả hai</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Tương tác gián tiếp qua API, không có tài khoản trực tiếp</w:t>
            </w:r>
          </w:p>
        </w:tc>
      </w:tr>
    </w:tbl>
    <w:p w:rsidR="00627DC6" w:rsidRPr="00627DC6" w:rsidRDefault="00627DC6" w:rsidP="00627DC6">
      <w:pPr>
        <w:spacing w:before="380" w:after="180" w:line="240" w:lineRule="auto"/>
        <w:outlineLvl w:val="0"/>
        <w:rPr>
          <w:rFonts w:ascii="Times New Roman" w:eastAsia="Times New Roman" w:hAnsi="Times New Roman" w:cs="Times New Roman"/>
          <w:b/>
          <w:bCs/>
          <w:kern w:val="36"/>
          <w:sz w:val="48"/>
          <w:szCs w:val="48"/>
        </w:rPr>
      </w:pPr>
      <w:r w:rsidRPr="00627DC6">
        <w:rPr>
          <w:rFonts w:ascii="Arial" w:eastAsia="Times New Roman" w:hAnsi="Arial" w:cs="Arial"/>
          <w:b/>
          <w:bCs/>
          <w:color w:val="1F4E79"/>
          <w:kern w:val="36"/>
          <w:sz w:val="30"/>
          <w:szCs w:val="30"/>
        </w:rPr>
        <w:t>6. CĂN CỨ PHÁP LÝ</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Thông tư 53/2026/TT-BGDĐT — Quy chế tuyển sinh và đào tạo sau đại học; ban hành 30/6/2026, hiệu lực từ 30/6/2026; áp dụng cho các khóa thông báo tuyển sinh thạc sĩ, tiến sĩ từ 01/01/2027; thay thế Thông tư 23/2021/TT-BGDĐT và 18/2021/TT-BGDĐT (nguồn: luatvietnam.vn).</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Nghị định 13/2023/NĐ-CP — Bảo vệ dữ liệu cá nhân.</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Luật Giáo dục đại học số 125/2025/QH15 và các văn bản hướng dẫn liên quan (căn cứ ban hành của TT 53/2026/TT-BGDĐT).</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Điều khoản chuyển tiếp (Điều 34, Quy chế kèm TT 53/2026/TT-BGDĐT): người học trúng tuyển/nhập học trước 01/01/2027 tiếp tục áp dụng quy chế cũ (TT 23/2021, TT 18/2021) — hệ thống cần hỗ trợ song song hai bộ quy tắc trong giai đoạn chuyển tiếp.</w:t>
      </w:r>
    </w:p>
    <w:p w:rsidR="00627DC6" w:rsidRPr="00627DC6" w:rsidRDefault="00627DC6" w:rsidP="00627DC6">
      <w:pPr>
        <w:spacing w:before="380" w:after="180" w:line="240" w:lineRule="auto"/>
        <w:outlineLvl w:val="0"/>
        <w:rPr>
          <w:rFonts w:ascii="Times New Roman" w:eastAsia="Times New Roman" w:hAnsi="Times New Roman" w:cs="Times New Roman"/>
          <w:b/>
          <w:bCs/>
          <w:kern w:val="36"/>
          <w:sz w:val="48"/>
          <w:szCs w:val="48"/>
        </w:rPr>
      </w:pPr>
      <w:r w:rsidRPr="00627DC6">
        <w:rPr>
          <w:rFonts w:ascii="Arial" w:eastAsia="Times New Roman" w:hAnsi="Arial" w:cs="Arial"/>
          <w:b/>
          <w:bCs/>
          <w:color w:val="1F4E79"/>
          <w:kern w:val="36"/>
          <w:sz w:val="30"/>
          <w:szCs w:val="30"/>
        </w:rPr>
        <w:t>7. RANH GIỚI CẦN LÀM RÕ GIỮA HAI PHÂN HỆ</w:t>
      </w:r>
    </w:p>
    <w:tbl>
      <w:tblPr>
        <w:tblW w:w="0" w:type="auto"/>
        <w:tblCellMar>
          <w:top w:w="15" w:type="dxa"/>
          <w:left w:w="15" w:type="dxa"/>
          <w:bottom w:w="15" w:type="dxa"/>
          <w:right w:w="15" w:type="dxa"/>
        </w:tblCellMar>
        <w:tblLook w:val="04A0" w:firstRow="1" w:lastRow="0" w:firstColumn="1" w:lastColumn="0" w:noHBand="0" w:noVBand="1"/>
      </w:tblPr>
      <w:tblGrid>
        <w:gridCol w:w="2988"/>
        <w:gridCol w:w="2156"/>
        <w:gridCol w:w="4416"/>
      </w:tblGrid>
      <w:tr w:rsidR="00627DC6" w:rsidRPr="00627DC6" w:rsidTr="00627DC6">
        <w:trPr>
          <w:trHeight w:val="420"/>
        </w:trPr>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lastRenderedPageBreak/>
              <w:t>Điểm giao thoa</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Rủi ro nếu không làm rõ</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Đề xuất phân định</w:t>
            </w:r>
          </w:p>
        </w:tc>
      </w:tr>
      <w:tr w:rsidR="00627DC6" w:rsidRPr="00627DC6" w:rsidTr="00627DC6">
        <w:trPr>
          <w:trHeight w:val="165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Phân công GVHD lúc trúng tuyển (FR-TS-19) vs. Duyệt/quản lý GVHD trong đào tạo (FR-DT-01–04)</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Trùng lặp chức năng, hai phân hệ cùng ghi dữ liệu GVHD gây xung đột</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FR-TS-19 chỉ ghi nhận đề xuất GVHD tại thời điểm trúng tuyển; việc duyệt chính thức theo tiêu chuẩn và quản lý trong suốt quá trình thuộc Phân hệ 2 (FR-DT-01–02)</w:t>
            </w:r>
          </w:p>
        </w:tc>
      </w:tr>
      <w:tr w:rsidR="00627DC6" w:rsidRPr="00627DC6" w:rsidTr="00627DC6">
        <w:trPr>
          <w:trHeight w:val="141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Điểm thi tuyển (FR-TS-13) vs. Điểm học phần (FR-DT-10)</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Nhầm lẫn khi thiết kế CSDL nếu dùng chung một bảng "điểm"</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Tách hai loại dữ liệu điểm riêng biệt về bản chất (điểm đầu vào vs. điểm học phần trong đào tạo), đặt tên bảng/entity rõ ràng ngay từ giai đoạn thiết kế</w:t>
            </w:r>
          </w:p>
        </w:tc>
      </w:tr>
      <w:tr w:rsidR="00627DC6" w:rsidRPr="00627DC6" w:rsidTr="00627DC6">
        <w:trPr>
          <w:trHeight w:val="165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Thời điểm bàn giao hồ sơ (Mục 2.3)</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Thiếu đồng bộ nếu người học bảo lưu/hủy nhập học sau khi đã bàn giao</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Phân hệ 2 chỉ khởi tạo hồ sơ đào tạo khi nhận được sự kiện "xác nhận nhập học" chính thức từ Phân hệ 1, có cơ chế huỷ/rollback nếu phát sinh thay đổi trạng thái sau đó</w:t>
            </w:r>
          </w:p>
        </w:tc>
      </w:tr>
    </w:tbl>
    <w:p w:rsidR="00627DC6" w:rsidRPr="00627DC6" w:rsidRDefault="00627DC6" w:rsidP="00627DC6">
      <w:pPr>
        <w:spacing w:before="380" w:after="180" w:line="240" w:lineRule="auto"/>
        <w:outlineLvl w:val="0"/>
        <w:rPr>
          <w:rFonts w:ascii="Times New Roman" w:eastAsia="Times New Roman" w:hAnsi="Times New Roman" w:cs="Times New Roman"/>
          <w:b/>
          <w:bCs/>
          <w:kern w:val="36"/>
          <w:sz w:val="48"/>
          <w:szCs w:val="48"/>
        </w:rPr>
      </w:pPr>
      <w:r w:rsidRPr="00627DC6">
        <w:rPr>
          <w:rFonts w:ascii="Arial" w:eastAsia="Times New Roman" w:hAnsi="Arial" w:cs="Arial"/>
          <w:b/>
          <w:bCs/>
          <w:color w:val="1F4E79"/>
          <w:kern w:val="36"/>
          <w:sz w:val="30"/>
          <w:szCs w:val="30"/>
        </w:rPr>
        <w:t>8. GIẢ ĐỊNH &amp; RÀNG BUỘC VỀ PHẠM VI</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Các mốc thời hạn, số lượng thành viên hội đồng, tiêu chuẩn người hướng dẫn... do Thông tư 53/2026/TT-BGDĐT quy định mức tối thiểu; cơ sở đào tạo có quyền quy định cụ thể hơn — hệ thống phải cấu hình được, không hard-code.</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Trong giai đoạn chuyển tiếp (trước 01/01/2027), hệ thống cần hỗ trợ đồng thời quy chế cũ (TT 23/2021, 18/2021) cho các khóa đã nhập học và quy chế mới cho khóa tuyển sinh từ 01/01/2027 trở đi.</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Phạm vi này dựa trên kết quả thu thập yêu cầu Giai đoạn 1 (phỏng vấn stakeholder); cần được xác nhận (validate) lại trước khi chốt baseline chính thức.</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Các hạng mục liệt kê ở Mục 4 (Ngoài phạm vi) có thể được đưa vào phạm vi ở giai đoạn sau nếu có yêu cầu bổ sung từ stakeholder, và sẽ cần đánh giá tác động (impact assessment) riêng.</w:t>
      </w:r>
    </w:p>
    <w:p w:rsidR="00627DC6" w:rsidRPr="00627DC6" w:rsidRDefault="00627DC6" w:rsidP="00627DC6">
      <w:pPr>
        <w:spacing w:before="380" w:after="180" w:line="240" w:lineRule="auto"/>
        <w:outlineLvl w:val="0"/>
        <w:rPr>
          <w:rFonts w:ascii="Times New Roman" w:eastAsia="Times New Roman" w:hAnsi="Times New Roman" w:cs="Times New Roman"/>
          <w:b/>
          <w:bCs/>
          <w:kern w:val="36"/>
          <w:sz w:val="48"/>
          <w:szCs w:val="48"/>
        </w:rPr>
      </w:pPr>
      <w:r w:rsidRPr="00627DC6">
        <w:rPr>
          <w:rFonts w:ascii="Arial" w:eastAsia="Times New Roman" w:hAnsi="Arial" w:cs="Arial"/>
          <w:b/>
          <w:bCs/>
          <w:color w:val="1F4E79"/>
          <w:kern w:val="36"/>
          <w:sz w:val="30"/>
          <w:szCs w:val="30"/>
        </w:rPr>
        <w:t>9. TIÊU CHÍ HOÀN THÀNH PHẠM VI (DEFINITION OF DONE)</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Toàn bộ 26 FR của Phân hệ Tuyển sinh và 23 FR của Phân hệ Đào tạo (tổng 49 FR) được triển khai và nghiệm thu theo SRS tương ứng.</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lastRenderedPageBreak/>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Luồng bàn giao dữ liệu giữa hai phân hệ (Mục 2.3) hoạt động tự động, có kiểm thử tích hợp (integration test) đầu-cuối từ đăng ký dự tuyển đến công nhận tốt nghiệp.</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Đồng bộ dữ liệu với hệ thống CSDL chuyên ngành GDĐH của Bộ GD&amp;ĐT được kiểm thử thành công ở môi trường thử nghiệm (nếu Bộ GD&amp;ĐT cung cấp sandbox) hoặc theo đặc tả API chính thức.</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Các hạng mục Ngoài phạm vi (Mục 4) được ghi nhận rõ trong tài liệu và không xuất hiện trong phạm vi nghiệm thu Giai đoạn 1.</w:t>
      </w:r>
    </w:p>
    <w:p w:rsidR="00627DC6" w:rsidRPr="00627DC6" w:rsidRDefault="00627DC6" w:rsidP="00627DC6">
      <w:pPr>
        <w:spacing w:before="380" w:after="180" w:line="240" w:lineRule="auto"/>
        <w:outlineLvl w:val="0"/>
        <w:rPr>
          <w:rFonts w:ascii="Times New Roman" w:eastAsia="Times New Roman" w:hAnsi="Times New Roman" w:cs="Times New Roman"/>
          <w:b/>
          <w:bCs/>
          <w:kern w:val="36"/>
          <w:sz w:val="48"/>
          <w:szCs w:val="48"/>
        </w:rPr>
      </w:pPr>
      <w:r w:rsidRPr="00627DC6">
        <w:rPr>
          <w:rFonts w:ascii="Arial" w:eastAsia="Times New Roman" w:hAnsi="Arial" w:cs="Arial"/>
          <w:b/>
          <w:bCs/>
          <w:color w:val="1F4E79"/>
          <w:kern w:val="36"/>
          <w:sz w:val="30"/>
          <w:szCs w:val="30"/>
        </w:rPr>
        <w:t>10. RỦI RO LIÊN QUAN ĐẾN PHẠM VI</w:t>
      </w:r>
    </w:p>
    <w:tbl>
      <w:tblPr>
        <w:tblW w:w="0" w:type="auto"/>
        <w:tblCellMar>
          <w:top w:w="15" w:type="dxa"/>
          <w:left w:w="15" w:type="dxa"/>
          <w:bottom w:w="15" w:type="dxa"/>
          <w:right w:w="15" w:type="dxa"/>
        </w:tblCellMar>
        <w:tblLook w:val="04A0" w:firstRow="1" w:lastRow="0" w:firstColumn="1" w:lastColumn="0" w:noHBand="0" w:noVBand="1"/>
      </w:tblPr>
      <w:tblGrid>
        <w:gridCol w:w="3322"/>
        <w:gridCol w:w="2038"/>
        <w:gridCol w:w="4200"/>
      </w:tblGrid>
      <w:tr w:rsidR="00627DC6" w:rsidRPr="00627DC6" w:rsidTr="00627DC6">
        <w:trPr>
          <w:trHeight w:val="420"/>
        </w:trPr>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Rủi ro</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Ảnh hưởng</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00" w:type="dxa"/>
              <w:bottom w:w="80" w:type="dxa"/>
              <w:right w:w="100" w:type="dxa"/>
            </w:tcMar>
            <w:hideMark/>
          </w:tcPr>
          <w:p w:rsidR="00627DC6" w:rsidRPr="00627DC6" w:rsidRDefault="00627DC6" w:rsidP="00627DC6">
            <w:pPr>
              <w:spacing w:after="0" w:line="240" w:lineRule="auto"/>
              <w:rPr>
                <w:rFonts w:ascii="Times New Roman" w:eastAsia="Times New Roman" w:hAnsi="Times New Roman" w:cs="Times New Roman"/>
                <w:sz w:val="24"/>
                <w:szCs w:val="24"/>
              </w:rPr>
            </w:pPr>
            <w:r w:rsidRPr="00627DC6">
              <w:rPr>
                <w:rFonts w:ascii="Arial" w:eastAsia="Times New Roman" w:hAnsi="Arial" w:cs="Arial"/>
                <w:b/>
                <w:bCs/>
                <w:color w:val="FFFFFF"/>
                <w:sz w:val="20"/>
                <w:szCs w:val="20"/>
              </w:rPr>
              <w:t>Biện pháp giảm thiểu</w:t>
            </w:r>
          </w:p>
        </w:tc>
      </w:tr>
      <w:tr w:rsidR="00627DC6" w:rsidRPr="00627DC6" w:rsidTr="00627DC6">
        <w:trPr>
          <w:trHeight w:val="117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Quy chế thay đổi hằng năm (số liệu, thời hạn, thành phần hội đồng)</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Phải sửa mã nguồn nếu thiết kế cứng</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Thiết kế toàn bộ tham số nghiệp vụ ở dạng cấu hình qua giao diện Admin (đã đưa vào NFR-06 của SRS Đào tạo)</w:t>
            </w:r>
          </w:p>
        </w:tc>
      </w:tr>
      <w:tr w:rsidR="00627DC6" w:rsidRPr="00627DC6" w:rsidTr="00627DC6">
        <w:trPr>
          <w:trHeight w:val="117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Scope creep: bổ sung nghiệp vụ liên kết đào tạo / đào tạo tích hợp giữa chừng dự án</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Trễ tiến độ, vượt ngân sách</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Ghi nhận rõ ở Mục 4 là ngoài phạm vi Giai đoạn 1; mọi bổ sung phải qua đánh giá tác động và phê duyệt thay đổi (change request)</w:t>
            </w:r>
          </w:p>
        </w:tc>
      </w:tr>
      <w:tr w:rsidR="00627DC6" w:rsidRPr="00627DC6" w:rsidTr="00627DC6">
        <w:trPr>
          <w:trHeight w:val="93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Giai đoạn chuyển tiếp quy chế cũ/mới chồng lấn (trước và sau 01/01/2027)</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Sai lệch nghiệp vụ nếu hệ thống chỉ hỗ trợ một bộ quy tắc</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Thiết kế hỗ trợ song song 2 bộ cấu hình quy chế theo khóa tuyển sinh/nhập học</w:t>
            </w:r>
          </w:p>
        </w:tc>
      </w:tr>
      <w:tr w:rsidR="00627DC6" w:rsidRPr="00627DC6" w:rsidTr="00627DC6">
        <w:trPr>
          <w:trHeight w:val="1410"/>
        </w:trPr>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Phụ thuộc hệ thống CSDL GDĐH của Bộ GD&amp;ĐT (đặc tả API bên ngoài, ngoài kiểm soát của dự án)</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Rủi ro tiến độ nếu đặc tả API thay đổi hoặc chưa sẵn sàng</w:t>
            </w:r>
          </w:p>
        </w:tc>
        <w:tc>
          <w:tcPr>
            <w:tcW w:w="0" w:type="auto"/>
            <w:tcBorders>
              <w:top w:val="single" w:sz="6" w:space="0" w:color="BFBFBF"/>
              <w:left w:val="single" w:sz="6" w:space="0" w:color="BFBFBF"/>
              <w:bottom w:val="single" w:sz="6" w:space="0" w:color="BFBFBF"/>
              <w:right w:val="single" w:sz="6" w:space="0" w:color="BFBFBF"/>
            </w:tcBorders>
            <w:tcMar>
              <w:top w:w="80" w:type="dxa"/>
              <w:left w:w="100" w:type="dxa"/>
              <w:bottom w:w="80" w:type="dxa"/>
              <w:right w:w="100" w:type="dxa"/>
            </w:tcMar>
            <w:hideMark/>
          </w:tcPr>
          <w:p w:rsidR="00627DC6" w:rsidRPr="00627DC6" w:rsidRDefault="00627DC6" w:rsidP="00627DC6">
            <w:pPr>
              <w:spacing w:after="40" w:line="240" w:lineRule="auto"/>
              <w:rPr>
                <w:rFonts w:ascii="Times New Roman" w:eastAsia="Times New Roman" w:hAnsi="Times New Roman" w:cs="Times New Roman"/>
                <w:sz w:val="24"/>
                <w:szCs w:val="24"/>
              </w:rPr>
            </w:pPr>
            <w:r w:rsidRPr="00627DC6">
              <w:rPr>
                <w:rFonts w:ascii="Arial" w:eastAsia="Times New Roman" w:hAnsi="Arial" w:cs="Arial"/>
                <w:color w:val="000000"/>
                <w:sz w:val="20"/>
                <w:szCs w:val="20"/>
              </w:rPr>
              <w:t>Làm rõ đặc tả tích hợp sớm với đơn vị liên quan; thiết kế module đồng bộ tách biệt, có cơ chế retry/log để không chặn các luồng nghiệp vụ chính</w:t>
            </w:r>
          </w:p>
        </w:tc>
      </w:tr>
    </w:tbl>
    <w:p w:rsidR="00627DC6" w:rsidRPr="00627DC6" w:rsidRDefault="00627DC6" w:rsidP="00627DC6">
      <w:pPr>
        <w:spacing w:before="380" w:after="180" w:line="240" w:lineRule="auto"/>
        <w:outlineLvl w:val="0"/>
        <w:rPr>
          <w:rFonts w:ascii="Times New Roman" w:eastAsia="Times New Roman" w:hAnsi="Times New Roman" w:cs="Times New Roman"/>
          <w:b/>
          <w:bCs/>
          <w:kern w:val="36"/>
          <w:sz w:val="48"/>
          <w:szCs w:val="48"/>
        </w:rPr>
      </w:pPr>
      <w:r w:rsidRPr="00627DC6">
        <w:rPr>
          <w:rFonts w:ascii="Arial" w:eastAsia="Times New Roman" w:hAnsi="Arial" w:cs="Arial"/>
          <w:b/>
          <w:bCs/>
          <w:color w:val="1F4E79"/>
          <w:kern w:val="36"/>
          <w:sz w:val="30"/>
          <w:szCs w:val="30"/>
        </w:rPr>
        <w:t>11. LỘ TRÌNH TRIỂN KHAI ĐỀ XUẤT</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Giai đoạn 1 (baseline hiện tại): toàn bộ phạm vi tại Mục 3 — 2 phân hệ Tuyển sinh và Đào tạo, luồng bàn giao dữ liệu, tích hợp CSDL GDĐH.</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Giai đoạn 2 (dự kiến, cần xác nhận nhu cầu): liên kết đào tạo trong nước/quốc tế, chương trình đào tạo tích hợp liên thông, các nghiệp vụ học thuật mở rộng khác.</w:t>
      </w:r>
    </w:p>
    <w:p w:rsidR="00627DC6" w:rsidRPr="00627DC6" w:rsidRDefault="00627DC6" w:rsidP="00627DC6">
      <w:pPr>
        <w:spacing w:after="100" w:line="240" w:lineRule="auto"/>
        <w:rPr>
          <w:rFonts w:ascii="Times New Roman" w:eastAsia="Times New Roman" w:hAnsi="Times New Roman" w:cs="Times New Roman"/>
          <w:sz w:val="24"/>
          <w:szCs w:val="24"/>
        </w:rPr>
      </w:pPr>
      <w:r w:rsidRPr="00627DC6">
        <w:rPr>
          <w:rFonts w:ascii="Arial" w:eastAsia="Times New Roman" w:hAnsi="Arial" w:cs="Arial"/>
          <w:color w:val="000000"/>
          <w:sz w:val="26"/>
          <w:szCs w:val="26"/>
        </w:rPr>
        <w:lastRenderedPageBreak/>
        <w:t>•</w:t>
      </w:r>
      <w:r w:rsidRPr="00627DC6">
        <w:rPr>
          <w:rFonts w:ascii="Times New Roman" w:eastAsia="Times New Roman" w:hAnsi="Times New Roman" w:cs="Times New Roman"/>
          <w:color w:val="000000"/>
          <w:sz w:val="14"/>
          <w:szCs w:val="14"/>
        </w:rPr>
        <w:t xml:space="preserve">      </w:t>
      </w:r>
      <w:r w:rsidRPr="00627DC6">
        <w:rPr>
          <w:rFonts w:ascii="Arial" w:eastAsia="Times New Roman" w:hAnsi="Arial" w:cs="Arial"/>
          <w:color w:val="000000"/>
          <w:sz w:val="26"/>
          <w:szCs w:val="26"/>
        </w:rPr>
        <w:t>Trước khi chuyển sang thiết kế chi tiết: xác nhận lại toàn bộ phạm vi này với Ban dự án, Phòng Đào tạo Sau đại học, Phòng/Trung tâm CNTT để chốt baseline chính thức.</w:t>
      </w:r>
    </w:p>
    <w:p w:rsidR="00382891" w:rsidRDefault="00382891">
      <w:bookmarkStart w:id="0" w:name="_GoBack"/>
      <w:bookmarkEnd w:id="0"/>
    </w:p>
    <w:sectPr w:rsidR="00382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DC6"/>
    <w:rsid w:val="00382891"/>
    <w:rsid w:val="00627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27D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7D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DC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7DC6"/>
    <w:rPr>
      <w:rFonts w:ascii="Times New Roman" w:eastAsia="Times New Roman" w:hAnsi="Times New Roman" w:cs="Times New Roman"/>
      <w:b/>
      <w:bCs/>
      <w:sz w:val="36"/>
      <w:szCs w:val="36"/>
    </w:rPr>
  </w:style>
  <w:style w:type="paragraph" w:styleId="NormalWeb">
    <w:name w:val="Normal (Web)"/>
    <w:basedOn w:val="Normal"/>
    <w:uiPriority w:val="99"/>
    <w:unhideWhenUsed/>
    <w:rsid w:val="00627DC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27D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7D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DC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7DC6"/>
    <w:rPr>
      <w:rFonts w:ascii="Times New Roman" w:eastAsia="Times New Roman" w:hAnsi="Times New Roman" w:cs="Times New Roman"/>
      <w:b/>
      <w:bCs/>
      <w:sz w:val="36"/>
      <w:szCs w:val="36"/>
    </w:rPr>
  </w:style>
  <w:style w:type="paragraph" w:styleId="NormalWeb">
    <w:name w:val="Normal (Web)"/>
    <w:basedOn w:val="Normal"/>
    <w:uiPriority w:val="99"/>
    <w:unhideWhenUsed/>
    <w:rsid w:val="00627DC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694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2060</Words>
  <Characters>11748</Characters>
  <Application>Microsoft Office Word</Application>
  <DocSecurity>0</DocSecurity>
  <Lines>97</Lines>
  <Paragraphs>27</Paragraphs>
  <ScaleCrop>false</ScaleCrop>
  <Company/>
  <LinksUpToDate>false</LinksUpToDate>
  <CharactersWithSpaces>13781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2026-09-17T14:34:00Z</dcterms:created>
  <dcterms:modified xsi:type="dcterms:W3CDTF">2026-09-17T14:35:00Z</dcterms:modified>
</cp:coreProperties>
</file>