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ĐẠI HỌC QUỐC GIA THÀNH PHỐ HỒ CHÍ MINH</w:t>
      </w:r>
    </w:p>
    <w:p>
      <w:pPr>
        <w:spacing w:after="40"/>
        <w:jc w:val="center"/>
      </w:pPr>
      <w:r>
        <w:rPr>
          <w:rFonts w:ascii="Times New Roman" w:cs="Times New Roman" w:eastAsia="Times New Roman" w:hAnsi="Times New Roman"/>
          <w:b/>
          <w:bCs/>
          <w:sz w:val="26"/>
          <w:szCs w:val="26"/>
        </w:rPr>
        <w:t xml:space="preserve">TRƯỜNG ĐẠI HỌC AN GIANG</w:t>
      </w:r>
    </w:p>
    <w:p>
      <w:pPr>
        <w:spacing w:after="400"/>
        <w:jc w:val="center"/>
      </w:pPr>
      <w:r>
        <w:rPr>
          <w:rFonts w:ascii="Times New Roman" w:cs="Times New Roman" w:eastAsia="Times New Roman" w:hAnsi="Times New Roman"/>
          <w:b/>
          <w:bCs/>
          <w:sz w:val="26"/>
          <w:szCs w:val="26"/>
        </w:rPr>
        <w:t xml:space="preserve">KHOA CÔNG NGHỆ THÔNG TIN</w:t>
      </w:r>
    </w:p>
    <w:p>
      <w:pPr>
        <w:spacing w:after="40"/>
        <w:jc w:val="center"/>
      </w:pPr>
      <w:r>
        <w:rPr>
          <w:rFonts w:ascii="Times New Roman" w:cs="Times New Roman" w:eastAsia="Times New Roman" w:hAnsi="Times New Roman"/>
          <w:b/>
          <w:bCs/>
          <w:sz w:val="32"/>
          <w:szCs w:val="32"/>
        </w:rPr>
        <w:t xml:space="preserve">ĐẶC TẢ USE CASE</w:t>
      </w:r>
    </w:p>
    <w:p>
      <w:pPr>
        <w:spacing w:after="300"/>
        <w:jc w:val="center"/>
      </w:pPr>
      <w:r>
        <w:rPr>
          <w:rFonts w:ascii="Times New Roman" w:cs="Times New Roman" w:eastAsia="Times New Roman" w:hAnsi="Times New Roman"/>
          <w:i/>
          <w:iCs/>
          <w:sz w:val="22"/>
          <w:szCs w:val="22"/>
        </w:rPr>
        <w:t xml:space="preserve">(Use Case Specification)</w:t>
      </w:r>
    </w:p>
    <w:p>
      <w:pPr>
        <w:spacing w:after="40"/>
        <w:jc w:val="center"/>
      </w:pPr>
      <w:r>
        <w:rPr>
          <w:rFonts w:ascii="Times New Roman" w:cs="Times New Roman" w:eastAsia="Times New Roman" w:hAnsi="Times New Roman"/>
          <w:b/>
          <w:bCs/>
          <w:sz w:val="30"/>
          <w:szCs w:val="30"/>
        </w:rPr>
        <w:t xml:space="preserve">HỆ THỐNG QUẢN LÝ TUYỂN SINH SAU ĐẠI HỌC</w:t>
      </w:r>
    </w:p>
    <w:p>
      <w:pPr>
        <w:spacing w:after="400"/>
        <w:jc w:val="center"/>
      </w:pPr>
      <w:r>
        <w:rPr>
          <w:rFonts w:ascii="Times New Roman" w:cs="Times New Roman" w:eastAsia="Times New Roman" w:hAnsi="Times New Roman"/>
          <w:sz w:val="22"/>
          <w:szCs w:val="22"/>
        </w:rPr>
        <w:t xml:space="preserve">(Thạc sĩ &amp; Tiến sĩ)</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Times New Roman" w:cs="Times New Roman" w:eastAsia="Times New Roman" w:hAnsi="Times New Roman"/>
                <w:b/>
                <w:bCs/>
                <w:sz w:val="20"/>
                <w:szCs w:val="20"/>
              </w:rPr>
              <w:t xml:space="preserve">Tài liệu liên quan</w:t>
            </w:r>
          </w:p>
        </w:tc>
        <w:tc>
          <w:tcPr>
            <w:tcW w:type="dxa" w:w="8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sz w:val="20"/>
                <w:szCs w:val="20"/>
              </w:rPr>
              <w:t xml:space="preserve">Đặc tả Yêu cầu Phần mềm (SRS) — Hệ thống Quản lý Tuyển sinh &amp; Đào tạo Sau đại học, Phân hệ 1 — Quản lý Tuyển sinh</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Times New Roman" w:cs="Times New Roman" w:eastAsia="Times New Roman" w:hAnsi="Times New Roman"/>
                <w:b/>
                <w:bCs/>
                <w:sz w:val="20"/>
                <w:szCs w:val="20"/>
              </w:rPr>
              <w:t xml:space="preserve">Phiên bản</w:t>
            </w:r>
          </w:p>
        </w:tc>
        <w:tc>
          <w:tcPr>
            <w:tcW w:type="dxa" w:w="8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sz w:val="20"/>
                <w:szCs w:val="20"/>
              </w:rPr>
              <w:t xml:space="preserve">1.0</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Times New Roman" w:cs="Times New Roman" w:eastAsia="Times New Roman" w:hAnsi="Times New Roman"/>
                <w:b/>
                <w:bCs/>
                <w:sz w:val="20"/>
                <w:szCs w:val="20"/>
              </w:rPr>
              <w:t xml:space="preserve">Ngày ban hành</w:t>
            </w:r>
          </w:p>
        </w:tc>
        <w:tc>
          <w:tcPr>
            <w:tcW w:type="dxa" w:w="8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sz w:val="20"/>
                <w:szCs w:val="20"/>
              </w:rPr>
              <w:t xml:space="preserve">18/9/2026</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Times New Roman" w:cs="Times New Roman" w:eastAsia="Times New Roman" w:hAnsi="Times New Roman"/>
                <w:b/>
                <w:bCs/>
                <w:sz w:val="20"/>
                <w:szCs w:val="20"/>
              </w:rPr>
              <w:t xml:space="preserve">Trạng thái</w:t>
            </w:r>
          </w:p>
        </w:tc>
        <w:tc>
          <w:tcPr>
            <w:tcW w:type="dxa" w:w="8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sz w:val="20"/>
                <w:szCs w:val="20"/>
              </w:rPr>
              <w:t xml:space="preserve">Dự thảo — tổng hợp giả định phạm vi, actor và use case cho phần Tuyển sinh (trước khi vào đào tạo)</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Times New Roman" w:cs="Times New Roman" w:eastAsia="Times New Roman" w:hAnsi="Times New Roman"/>
                <w:b/>
                <w:bCs/>
                <w:sz w:val="20"/>
                <w:szCs w:val="20"/>
              </w:rPr>
              <w:t xml:space="preserve">Phạm vi</w:t>
            </w:r>
          </w:p>
        </w:tc>
        <w:tc>
          <w:tcPr>
            <w:tcW w:type="dxa" w:w="8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sz w:val="20"/>
                <w:szCs w:val="20"/>
              </w:rPr>
              <w:t xml:space="preserve">Chuẩn bị đợt tuyển sinh, Đăng ký &amp; nộp hồ sơ, Thẩm định hồ sơ, Tổ chức xét tuyển/thi, Xét trúng tuyển, Ra quyết định &amp; nhập học</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Times New Roman" w:cs="Times New Roman" w:eastAsia="Times New Roman" w:hAnsi="Times New Roman"/>
                <w:b/>
                <w:bCs/>
                <w:sz w:val="20"/>
                <w:szCs w:val="20"/>
              </w:rPr>
              <w:t xml:space="preserve">Căn cứ pháp lý</w:t>
            </w:r>
          </w:p>
        </w:tc>
        <w:tc>
          <w:tcPr>
            <w:tcW w:type="dxa" w:w="8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sz w:val="20"/>
                <w:szCs w:val="20"/>
              </w:rPr>
              <w:t xml:space="preserve">Thông tư 53/2026/TT-BGDĐT</w:t>
            </w:r>
          </w:p>
        </w:tc>
      </w:tr>
    </w:tbl>
    <w:p>
      <w:pPr>
        <w:spacing w:before="500"/>
      </w:pPr>
    </w:p>
    <w:p>
      <w:pPr>
        <w:jc w:val="center"/>
      </w:pPr>
      <w:r>
        <w:rPr>
          <w:rFonts w:ascii="Times New Roman" w:cs="Times New Roman" w:eastAsia="Times New Roman" w:hAnsi="Times New Roman"/>
          <w:b/>
          <w:bCs/>
          <w:sz w:val="22"/>
          <w:szCs w:val="22"/>
        </w:rPr>
        <w:t xml:space="preserve">AN GIANG, THÁNG 9 — NĂM 2026</w:t>
      </w:r>
    </w:p>
    <w:p>
      <w:r>
        <w:br w:type="page"/>
      </w:r>
    </w:p>
    <w:p>
      <w:pPr>
        <w:pStyle w:val="Heading1"/>
        <w:spacing w:after="200"/>
      </w:pPr>
      <w:r>
        <w:rPr>
          <w:rFonts w:ascii="Times New Roman" w:cs="Times New Roman" w:eastAsia="Times New Roman" w:hAnsi="Times New Roman"/>
          <w:b/>
          <w:bCs/>
          <w:sz w:val="28"/>
          <w:szCs w:val="28"/>
        </w:rPr>
        <w:t xml:space="preserve">MỤC LỤC</w:t>
      </w:r>
    </w:p>
    <w:p>
      <w:pPr>
        <w:tabs>
          <w:tab w:val="right" w:pos="9072" w:leader="dot"/>
        </w:tabs>
        <w:spacing w:after="100"/>
      </w:pPr>
      <w:r>
        <w:rPr>
          <w:rFonts w:ascii="Times New Roman" w:cs="Times New Roman" w:eastAsia="Times New Roman" w:hAnsi="Times New Roman"/>
          <w:sz w:val="22"/>
          <w:szCs w:val="22"/>
        </w:rPr>
        <w:t xml:space="preserve">1. Giả định phạm vi cho phần Use Case	3</w:t>
      </w:r>
    </w:p>
    <w:p>
      <w:pPr>
        <w:tabs>
          <w:tab w:val="right" w:pos="9072" w:leader="dot"/>
        </w:tabs>
        <w:spacing w:after="100"/>
      </w:pPr>
      <w:r>
        <w:rPr>
          <w:rFonts w:ascii="Times New Roman" w:cs="Times New Roman" w:eastAsia="Times New Roman" w:hAnsi="Times New Roman"/>
          <w:sz w:val="22"/>
          <w:szCs w:val="22"/>
        </w:rPr>
        <w:t xml:space="preserve">2. Sơ đồ Use Case tổng quan	4</w:t>
      </w:r>
    </w:p>
    <w:p>
      <w:pPr>
        <w:tabs>
          <w:tab w:val="right" w:pos="9072" w:leader="dot"/>
        </w:tabs>
        <w:spacing w:after="100"/>
      </w:pPr>
      <w:r>
        <w:rPr>
          <w:rFonts w:ascii="Times New Roman" w:cs="Times New Roman" w:eastAsia="Times New Roman" w:hAnsi="Times New Roman"/>
          <w:sz w:val="22"/>
          <w:szCs w:val="22"/>
        </w:rPr>
        <w:t xml:space="preserve">3. Danh sách Actor	5</w:t>
      </w:r>
    </w:p>
    <w:p>
      <w:pPr>
        <w:tabs>
          <w:tab w:val="right" w:pos="9072" w:leader="dot"/>
        </w:tabs>
        <w:spacing w:after="100"/>
      </w:pPr>
      <w:r>
        <w:rPr>
          <w:rFonts w:ascii="Times New Roman" w:cs="Times New Roman" w:eastAsia="Times New Roman" w:hAnsi="Times New Roman"/>
          <w:sz w:val="22"/>
          <w:szCs w:val="22"/>
        </w:rPr>
        <w:t xml:space="preserve">4. Danh sách Use Case (theo nhóm chức năng)	6</w:t>
      </w:r>
    </w:p>
    <w:p>
      <w:pPr>
        <w:tabs>
          <w:tab w:val="right" w:pos="9072" w:leader="dot"/>
        </w:tabs>
        <w:spacing w:after="100"/>
      </w:pPr>
      <w:r>
        <w:rPr>
          <w:rFonts w:ascii="Times New Roman" w:cs="Times New Roman" w:eastAsia="Times New Roman" w:hAnsi="Times New Roman"/>
          <w:sz w:val="22"/>
          <w:szCs w:val="22"/>
        </w:rPr>
        <w:t xml:space="preserve">     4.1. Nhóm A — Chuẩn bị đợt tuyển sinh	6</w:t>
      </w:r>
    </w:p>
    <w:p>
      <w:pPr>
        <w:tabs>
          <w:tab w:val="right" w:pos="9072" w:leader="dot"/>
        </w:tabs>
        <w:spacing w:after="100"/>
      </w:pPr>
      <w:r>
        <w:rPr>
          <w:rFonts w:ascii="Times New Roman" w:cs="Times New Roman" w:eastAsia="Times New Roman" w:hAnsi="Times New Roman"/>
          <w:sz w:val="22"/>
          <w:szCs w:val="22"/>
        </w:rPr>
        <w:t xml:space="preserve">     4.2. Nhóm B — Đăng ký &amp; nộp hồ sơ	6</w:t>
      </w:r>
    </w:p>
    <w:p>
      <w:pPr>
        <w:tabs>
          <w:tab w:val="right" w:pos="9072" w:leader="dot"/>
        </w:tabs>
        <w:spacing w:after="100"/>
      </w:pPr>
      <w:r>
        <w:rPr>
          <w:rFonts w:ascii="Times New Roman" w:cs="Times New Roman" w:eastAsia="Times New Roman" w:hAnsi="Times New Roman"/>
          <w:sz w:val="22"/>
          <w:szCs w:val="22"/>
        </w:rPr>
        <w:t xml:space="preserve">     4.3. Nhóm C — Thẩm định hồ sơ	7</w:t>
      </w:r>
    </w:p>
    <w:p>
      <w:pPr>
        <w:tabs>
          <w:tab w:val="right" w:pos="9072" w:leader="dot"/>
        </w:tabs>
        <w:spacing w:after="100"/>
      </w:pPr>
      <w:r>
        <w:rPr>
          <w:rFonts w:ascii="Times New Roman" w:cs="Times New Roman" w:eastAsia="Times New Roman" w:hAnsi="Times New Roman"/>
          <w:sz w:val="22"/>
          <w:szCs w:val="22"/>
        </w:rPr>
        <w:t xml:space="preserve">     4.4. Nhóm D — Tổ chức xét tuyển / thi	7</w:t>
      </w:r>
    </w:p>
    <w:p>
      <w:pPr>
        <w:tabs>
          <w:tab w:val="right" w:pos="9072" w:leader="dot"/>
        </w:tabs>
        <w:spacing w:after="100"/>
      </w:pPr>
      <w:r>
        <w:rPr>
          <w:rFonts w:ascii="Times New Roman" w:cs="Times New Roman" w:eastAsia="Times New Roman" w:hAnsi="Times New Roman"/>
          <w:sz w:val="22"/>
          <w:szCs w:val="22"/>
        </w:rPr>
        <w:t xml:space="preserve">     4.5. Nhóm E — Xét trúng tuyển	7</w:t>
      </w:r>
    </w:p>
    <w:p>
      <w:pPr>
        <w:tabs>
          <w:tab w:val="right" w:pos="9072" w:leader="dot"/>
        </w:tabs>
        <w:spacing w:after="100"/>
      </w:pPr>
      <w:r>
        <w:rPr>
          <w:rFonts w:ascii="Times New Roman" w:cs="Times New Roman" w:eastAsia="Times New Roman" w:hAnsi="Times New Roman"/>
          <w:sz w:val="22"/>
          <w:szCs w:val="22"/>
        </w:rPr>
        <w:t xml:space="preserve">     4.6. Nhóm F — Ra quyết định &amp; nhập học	8</w:t>
      </w:r>
    </w:p>
    <w:p>
      <w:pPr>
        <w:tabs>
          <w:tab w:val="right" w:pos="9072" w:leader="dot"/>
        </w:tabs>
        <w:spacing w:after="100"/>
      </w:pPr>
      <w:r>
        <w:rPr>
          <w:rFonts w:ascii="Times New Roman" w:cs="Times New Roman" w:eastAsia="Times New Roman" w:hAnsi="Times New Roman"/>
          <w:sz w:val="22"/>
          <w:szCs w:val="22"/>
        </w:rPr>
        <w:t xml:space="preserve">     4.7. Nhóm dùng chung (cross-cutting)	8</w:t>
      </w:r>
    </w:p>
    <w:p>
      <w:pPr>
        <w:tabs>
          <w:tab w:val="right" w:pos="9072" w:leader="dot"/>
        </w:tabs>
        <w:spacing w:after="100"/>
      </w:pPr>
      <w:r>
        <w:rPr>
          <w:rFonts w:ascii="Times New Roman" w:cs="Times New Roman" w:eastAsia="Times New Roman" w:hAnsi="Times New Roman"/>
          <w:sz w:val="22"/>
          <w:szCs w:val="22"/>
        </w:rPr>
        <w:t xml:space="preserve">5. Đặc tả chi tiết các Use Case trọng tâm	9</w:t>
      </w:r>
    </w:p>
    <w:p>
      <w:r>
        <w:br w:type="page"/>
      </w:r>
    </w:p>
    <w:p>
      <w:pPr>
        <w:pStyle w:val="Heading1"/>
        <w:spacing w:after="160" w:before="280"/>
      </w:pPr>
      <w:r>
        <w:rPr>
          <w:rFonts w:ascii="Times New Roman" w:cs="Times New Roman" w:eastAsia="Times New Roman" w:hAnsi="Times New Roman"/>
          <w:b/>
          <w:bCs/>
          <w:sz w:val="28"/>
          <w:szCs w:val="28"/>
        </w:rPr>
        <w:t xml:space="preserve">1. GIẢ ĐỊNH PHẠM VI CHO PHẦN USE CASE</w:t>
      </w:r>
    </w:p>
    <w:p>
      <w:pPr>
        <w:pStyle w:val="ListParagraph"/>
        <w:numPr>
          <w:ilvl w:val="0"/>
          <w:numId w:val="2"/>
        </w:numPr>
        <w:spacing w:after="100"/>
      </w:pPr>
      <w:r>
        <w:rPr>
          <w:rFonts w:ascii="Times New Roman" w:cs="Times New Roman" w:eastAsia="Times New Roman" w:hAnsi="Times New Roman"/>
          <w:sz w:val="22"/>
          <w:szCs w:val="22"/>
        </w:rPr>
        <w:t xml:space="preserve">Phân hệ này chỉ phục vụ giai đoạn Tuyển sinh: từ chuẩn bị đợt tuyển sinh, mở cổng đăng ký, nộp hồ sơ, thẩm định, tổ chức xét tuyển/thi, xét trúng tuyển, đến khi ra quyết định và thí sinh xác nhận nhập học thành công. Các use case thuộc phần Đào tạo sau nhập học (quản lý GVHD, hội đồng luận văn/luận án, nhập điểm học phần, thời khóa biểu, theo dõi tiến độ NCS...) không thuộc phạm vi phần này — thuộc Phân hệ 2 (Quản lý Đào tạo), tách riêng.</w:t>
      </w:r>
    </w:p>
    <w:p>
      <w:pPr>
        <w:pStyle w:val="ListParagraph"/>
        <w:numPr>
          <w:ilvl w:val="0"/>
          <w:numId w:val="2"/>
        </w:numPr>
        <w:spacing w:after="100"/>
      </w:pPr>
      <w:r>
        <w:rPr>
          <w:rFonts w:ascii="Times New Roman" w:cs="Times New Roman" w:eastAsia="Times New Roman" w:hAnsi="Times New Roman"/>
          <w:sz w:val="22"/>
          <w:szCs w:val="22"/>
        </w:rPr>
        <w:t xml:space="preserve">Actor sử dụng trực tiếp gồm: thí sinh/ứng viên dự tuyển, cán bộ tuyển sinh, hội đồng tuyển sinh/hội đồng thi, lãnh đạo khoa/viện, quản trị hệ thống. Khác với phân hệ Đào tạo, thí sinh LÀ actor trực tiếp của phân hệ này vì họ tự đăng ký tài khoản, kê khai hồ sơ, nộp minh chứng và xác nhận nhập học trên hệ thống.</w:t>
      </w:r>
    </w:p>
    <w:p>
      <w:pPr>
        <w:pStyle w:val="ListParagraph"/>
        <w:numPr>
          <w:ilvl w:val="0"/>
          <w:numId w:val="2"/>
        </w:numPr>
        <w:spacing w:after="100"/>
      </w:pPr>
      <w:r>
        <w:rPr>
          <w:rFonts w:ascii="Times New Roman" w:cs="Times New Roman" w:eastAsia="Times New Roman" w:hAnsi="Times New Roman"/>
          <w:sz w:val="22"/>
          <w:szCs w:val="22"/>
        </w:rPr>
        <w:t xml:space="preserve">Ranh giới kết thúc phân hệ: khi thí sinh đã xác nhận nhập học thành công và nộp bản chính hồ sơ — hồ sơ khi đó được chuyển giao sang Phân hệ Quản lý Đào tạo để khởi tạo hồ sơ học viên/NCS chính thức.</w:t>
      </w:r>
    </w:p>
    <w:p>
      <w:pPr>
        <w:pStyle w:val="ListParagraph"/>
        <w:numPr>
          <w:ilvl w:val="0"/>
          <w:numId w:val="2"/>
        </w:numPr>
        <w:spacing w:after="100"/>
      </w:pPr>
      <w:r>
        <w:rPr>
          <w:rFonts w:ascii="Times New Roman" w:cs="Times New Roman" w:eastAsia="Times New Roman" w:hAnsi="Times New Roman"/>
          <w:sz w:val="22"/>
          <w:szCs w:val="22"/>
        </w:rPr>
        <w:t xml:space="preserve">Ngoài phạm vi: quản lý điểm học phần, thời khóa biểu (TKB), nhập điểm theo môn/theo khoa, quản lý GVHD và hội đồng luận văn/luận án — các nghiệp vụ này thuộc phân hệ Đào tạo, không thuộc Tuyển sinh.</w:t>
      </w:r>
    </w:p>
    <w:p>
      <w:pPr>
        <w:pStyle w:val="Heading1"/>
        <w:spacing w:after="160" w:before="280"/>
      </w:pPr>
      <w:r>
        <w:rPr>
          <w:rFonts w:ascii="Times New Roman" w:cs="Times New Roman" w:eastAsia="Times New Roman" w:hAnsi="Times New Roman"/>
          <w:b/>
          <w:bCs/>
          <w:sz w:val="28"/>
          <w:szCs w:val="28"/>
        </w:rPr>
        <w:t xml:space="preserve">2. SƠ ĐỒ USE CASE TỔNG QUAN</w:t>
      </w:r>
    </w:p>
    <w:p>
      <w:pPr>
        <w:spacing w:after="120"/>
      </w:pPr>
      <w:r>
        <w:rPr>
          <w:rFonts w:ascii="Times New Roman" w:cs="Times New Roman" w:eastAsia="Times New Roman" w:hAnsi="Times New Roman"/>
          <w:sz w:val="22"/>
          <w:szCs w:val="22"/>
        </w:rPr>
        <w:t xml:space="preserve">Sơ đồ dưới đây minh họa tổng quan các actor và các nhóm use case chính của phân hệ Tuyển sinh, theo 6 giai đoạn: Chuẩn bị đợt tuyển sinh → Đăng ký &amp; nộp hồ sơ → Thẩm định hồ sơ → Tổ chức xét tuyển/thi → Xét trúng tuyển → Ra quyết định &amp; nhập học.</w:t>
      </w:r>
    </w:p>
    <w:p>
      <w:pPr>
        <w:spacing w:after="120" w:before="200"/>
        <w:jc w:val="center"/>
      </w:pPr>
      <w:r>
        <w:drawing>
          <wp:inline distT="0" distB="0" distL="0" distR="0">
            <wp:extent cx="5391150" cy="117083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11708387"/>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Hình 1. Sơ đồ Use Case — Hệ thống Tuyển sinh Sau đại học (căn cứ Thông tư 53/2026/TT-BGDĐT)</w:t>
      </w:r>
    </w:p>
    <w:p>
      <w:pPr>
        <w:spacing w:after="120"/>
      </w:pPr>
      <w:r>
        <w:rPr>
          <w:rFonts w:ascii="Times New Roman" w:cs="Times New Roman" w:eastAsia="Times New Roman" w:hAnsi="Times New Roman"/>
          <w:sz w:val="22"/>
          <w:szCs w:val="22"/>
        </w:rPr>
        <w:t xml:space="preserve">Sơ đồ minh họa 9 actor chính (bao gồm Thí sinh, Cán bộ tuyển sinh, Hội đồng tuyển sinh, Lãnh đạo Khoa/Viện, Quản trị hệ thống và các actor hệ thống bên ngoài) và mối liên hệ với 6 nhóm chức năng (module) tương ứng 6 giai đoạn tuyển sinh — chi tiết đầy đủ nằm trong bảng use case bên dưới.</w:t>
      </w:r>
    </w:p>
    <w:p>
      <w:pPr>
        <w:pStyle w:val="Heading1"/>
        <w:spacing w:after="160" w:before="280"/>
      </w:pPr>
      <w:r>
        <w:rPr>
          <w:rFonts w:ascii="Times New Roman" w:cs="Times New Roman" w:eastAsia="Times New Roman" w:hAnsi="Times New Roman"/>
          <w:b/>
          <w:bCs/>
          <w:sz w:val="28"/>
          <w:szCs w:val="28"/>
        </w:rPr>
        <w:t xml:space="preserve">3. DANH SÁCH ACTOR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200"/>
      </w:tblGrid>
      <w:tr>
        <w:trPr>
          <w:tblHeader/>
        </w:trPr>
        <w:tc>
          <w:tcPr>
            <w:tcW w:type="dxa" w:w="2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Actor</w:t>
            </w:r>
          </w:p>
        </w:tc>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Loại</w:t>
            </w:r>
          </w:p>
        </w:tc>
        <w:tc>
          <w:tcPr>
            <w:tcW w:type="dxa" w:w="6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Vai trò trong hệ thống</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Thí sinh / Ứng viên dự tuyển</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 ngoài</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ký tài khoản, kê khai hồ sơ, upload văn bằng/bảng điểm/chứng chỉ/đề cương (NCS), thanh toán lệ phí, theo dõi trạng thái hồ sơ, phúc khảo, xác nhận nhập học online, nộp bản chính</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Cán bộ tuyển sinh</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 nội bộ</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Tạo đợt tuyển sinh, cấu hình ngành/chỉ tiêu/điều kiện, thẩm định hồ sơ, tổ chức thi/xét tuyển, tính điểm chuẩn, tạo quyết định trúng tuyển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Hội đồng tuyển sinh / Hội đồng thi</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 nội bộ</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Tham gia phỏng vấn, chấm điểm thi/xét tuyển, xử lý phúc khảo, duyệt danh sách trúng tuyển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Lãnh đạo Khoa/Viện</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 nội bộ</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Phê duyệt chỉ tiêu, điều kiện xét tuyển, danh sách trúng tuyển; ký số quyết định trúng tuyển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Quản trị hệ thống</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Người dùng nội bộ</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Quản lý tài khoản, phân quyền, cấu hình danh mục dùng chung (ngành, đợt tuyển sinh...)</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Hệ thống Thanh toán</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Actor hệ thống (bên ngoài)</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Xử lý thanh toán lệ phí xét tuyển trực tuyến, xác nhận giao dịch</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Hệ thống Ký số</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Actor hệ thống (bên ngoài)</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Cung cấp dịch vụ chữ ký số điện tử cho quyết định trúng tuyển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Hệ thống Gửi OTP/Thông báo</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Actor hệ thống (bên ngoài)</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Gửi OTP xác thực tài khoản, thông báo trạng thái hồ sơ qua email/SMS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Ban Giám hiệu / Phòng KH-TC</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Actor phụ</w:t>
            </w:r>
          </w:p>
        </w:tc>
        <w:tc>
          <w:tcPr>
            <w:tcW w:type="dxa" w:w="6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Xem báo cáo tổng hợp tuyển sinh (chỉ đọc, không thao tác nghiệp vụ)</w:t>
            </w:r>
          </w:p>
        </w:tc>
      </w:tr>
    </w:tbl>
    <w:p>
      <w:pPr>
        <w:spacing w:before="160"/>
      </w:pPr>
      <w:r>
        <w:rPr>
          <w:rFonts w:ascii="Times New Roman" w:cs="Times New Roman" w:eastAsia="Times New Roman" w:hAnsi="Times New Roman"/>
          <w:i/>
          <w:iCs/>
          <w:sz w:val="20"/>
          <w:szCs w:val="20"/>
        </w:rPr>
        <w:t xml:space="preserve">Bảng trên liệt kê 9 actor của phân hệ Tuyển sinh; mỗi actor còn tương tác với nhiều nhóm use case khác nhau, chi tiết đầy đủ nằm trong bảng use case bên dưới.</w:t>
      </w:r>
    </w:p>
    <w:p>
      <w:pPr>
        <w:pStyle w:val="Heading1"/>
        <w:spacing w:after="160" w:before="280"/>
      </w:pPr>
      <w:r>
        <w:rPr>
          <w:rFonts w:ascii="Times New Roman" w:cs="Times New Roman" w:eastAsia="Times New Roman" w:hAnsi="Times New Roman"/>
          <w:b/>
          <w:bCs/>
          <w:sz w:val="28"/>
          <w:szCs w:val="28"/>
        </w:rPr>
        <w:t xml:space="preserve">4. DANH SÁCH USE CASE (THEO NHÓM CHỨC NĂNG)</w:t>
      </w:r>
    </w:p>
    <w:p>
      <w:pPr>
        <w:pStyle w:val="Heading3"/>
        <w:spacing w:after="120" w:before="240"/>
      </w:pPr>
      <w:r>
        <w:rPr>
          <w:rFonts w:ascii="Times New Roman" w:cs="Times New Roman" w:eastAsia="Times New Roman" w:hAnsi="Times New Roman"/>
          <w:b/>
          <w:bCs/>
          <w:sz w:val="22"/>
          <w:szCs w:val="22"/>
        </w:rPr>
        <w:t xml:space="preserve">4.1. Nhóm A — Chuẩn bị đợt tuyển sinh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3600"/>
        <w:gridCol w:w="1000"/>
      </w:tblGrid>
      <w:tr>
        <w:trPr>
          <w:tblHeader/>
        </w:trPr>
        <w:tc>
          <w:tcPr>
            <w:tcW w:type="dxa" w:w="13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w:t>
            </w:r>
          </w:p>
        </w:tc>
        <w:tc>
          <w:tcPr>
            <w:tcW w:type="dxa" w:w="2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1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Actor chính</w:t>
            </w:r>
          </w:p>
        </w:tc>
        <w:tc>
          <w:tcPr>
            <w:tcW w:type="dxa" w:w="3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 ngắn</w:t>
            </w:r>
          </w:p>
        </w:tc>
        <w:tc>
          <w:tcPr>
            <w:tcW w:type="dxa" w:w="1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Ưu tiên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UC-CB-01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Tạo đợt tuyển sinh</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Khởi tạo đợt tuyển sinh mới (thời gian, phạm vi áp dụng)</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UC-CB-02</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Cấu hình ngành &amp; chỉ tiêu</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Thiết lập ngành đào tạo và chỉ tiêu tuyển theo đợt</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UC-CB-03</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Cấu hình điều kiện xét tuyển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Thiết lập điều kiện đầu vào theo Điều 6 TT 53</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UC-CB-04</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Thành lập hội đồng tuyển sinh</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 Lãnh đạo Khoa/Viện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Lập hội đồng phụ trách đợt tuyển sinh</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UC-CB-05</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Cấu hình môn thi / hình thức xét tuyển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Thiết lập môn thi, hình thức thi/xét/phỏng vấn</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Trung bình</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UC-CB-06</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Mở cổng đăng ký</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Công bố đợt tuyển sinh, cho phép thí sinh đăng ký</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bl>
    <w:p>
      <w:pPr>
        <w:pStyle w:val="Heading3"/>
        <w:spacing w:after="120" w:before="240"/>
      </w:pPr>
      <w:r>
        <w:rPr>
          <w:rFonts w:ascii="Times New Roman" w:cs="Times New Roman" w:eastAsia="Times New Roman" w:hAnsi="Times New Roman"/>
          <w:b/>
          <w:bCs/>
          <w:sz w:val="22"/>
          <w:szCs w:val="22"/>
        </w:rPr>
        <w:t xml:space="preserve">4.2. Nhóm B — Đăng ký &amp; nộp hồ sơ</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3600"/>
        <w:gridCol w:w="1000"/>
      </w:tblGrid>
      <w:tr>
        <w:trPr>
          <w:tblHeader/>
        </w:trPr>
        <w:tc>
          <w:tcPr>
            <w:tcW w:type="dxa" w:w="13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w:t>
            </w:r>
          </w:p>
        </w:tc>
        <w:tc>
          <w:tcPr>
            <w:tcW w:type="dxa" w:w="2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1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Actor chính</w:t>
            </w:r>
          </w:p>
        </w:tc>
        <w:tc>
          <w:tcPr>
            <w:tcW w:type="dxa" w:w="3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 ngắn</w:t>
            </w:r>
          </w:p>
        </w:tc>
        <w:tc>
          <w:tcPr>
            <w:tcW w:type="dxa" w:w="1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Ưu tiên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UC-DK-01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ký tài khoản thí sinh</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Tạo tài khoản, xác thực qua OTP</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UC-DK-02</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Kê khai hồ sơ xét tuyển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thông tin cá nhân, nguyện vọng ngành</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UC-DK-03</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Upload văn bằng / bảng điểm / chứng chỉ</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Tải lên minh chứng học vấn</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UC-DK-04</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Upload đề cương nghiên cứu (NCS)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 (bậc tiến sĩ)</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Nộp đề cương dự kiến nghiên cứu</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UC-DK-05</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Thanh toán lệ phí xét tuyển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 Hệ thống Thanh toán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Thanh toán trực tuyến, xác nhận giao dịch</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UC-DK-06</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Nộp hồ sơ &amp; chuyển trạng thái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Gửi hồ sơ hoàn chỉnh, chuyển trạng thái “Xử lý”</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bl>
    <w:p>
      <w:pPr>
        <w:pStyle w:val="Heading3"/>
        <w:spacing w:after="120" w:before="240"/>
      </w:pPr>
      <w:r>
        <w:rPr>
          <w:rFonts w:ascii="Times New Roman" w:cs="Times New Roman" w:eastAsia="Times New Roman" w:hAnsi="Times New Roman"/>
          <w:b/>
          <w:bCs/>
          <w:sz w:val="22"/>
          <w:szCs w:val="22"/>
        </w:rPr>
        <w:t xml:space="preserve">4.3. Nhóm C — Thẩm định hồ sơ</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3600"/>
        <w:gridCol w:w="1000"/>
      </w:tblGrid>
      <w:tr>
        <w:trPr>
          <w:tblHeader/>
        </w:trPr>
        <w:tc>
          <w:tcPr>
            <w:tcW w:type="dxa" w:w="13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w:t>
            </w:r>
          </w:p>
        </w:tc>
        <w:tc>
          <w:tcPr>
            <w:tcW w:type="dxa" w:w="2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1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Actor chính</w:t>
            </w:r>
          </w:p>
        </w:tc>
        <w:tc>
          <w:tcPr>
            <w:tcW w:type="dxa" w:w="3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 ngắn</w:t>
            </w:r>
          </w:p>
        </w:tc>
        <w:tc>
          <w:tcPr>
            <w:tcW w:type="dxa" w:w="1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Ưu tiên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UC-TD-01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Kiểm tra điều kiện đầu vào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Đối chiếu hồ sơ với điều kiện đầu vào (Điều 6 TT 53)</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UC-TD-02</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Yêu cầu bổ sung hồ sơ</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Gửi yêu cầu khi hồ sơ thiếu hoặc không hợp lệ</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Trung bình</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UC-TD-03</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Duyệt / Từ chối hồ sơ</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Ra quyết định hồ sơ hợp lệ hay từ chối</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UC-TD-04</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Đưa hồ sơ hợp lệ vào danh sách xét tuyển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 (tự động), 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Cập nhật danh sách thí sinh đủ điều kiện xét tuyển</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bl>
    <w:p>
      <w:pPr>
        <w:pStyle w:val="Heading3"/>
        <w:spacing w:after="120" w:before="240"/>
      </w:pPr>
      <w:r>
        <w:rPr>
          <w:rFonts w:ascii="Times New Roman" w:cs="Times New Roman" w:eastAsia="Times New Roman" w:hAnsi="Times New Roman"/>
          <w:b/>
          <w:bCs/>
          <w:sz w:val="22"/>
          <w:szCs w:val="22"/>
        </w:rPr>
        <w:t xml:space="preserve">4.4. Nhóm D — Tổ chức xét tuyển / thi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3600"/>
        <w:gridCol w:w="1000"/>
      </w:tblGrid>
      <w:tr>
        <w:trPr>
          <w:tblHeader/>
        </w:trPr>
        <w:tc>
          <w:tcPr>
            <w:tcW w:type="dxa" w:w="13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w:t>
            </w:r>
          </w:p>
        </w:tc>
        <w:tc>
          <w:tcPr>
            <w:tcW w:type="dxa" w:w="2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1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Actor chính</w:t>
            </w:r>
          </w:p>
        </w:tc>
        <w:tc>
          <w:tcPr>
            <w:tcW w:type="dxa" w:w="3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 ngắn</w:t>
            </w:r>
          </w:p>
        </w:tc>
        <w:tc>
          <w:tcPr>
            <w:tcW w:type="dxa" w:w="1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Ưu tiên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UC-XT-01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Xếp phòng thi &amp; số báo danh</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Phân phòng thi, sinh số báo danh cho thí sinh</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UC-XT-02</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Lập lịch phỏng vấn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 Hội đồng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Xếp lịch phỏng vấn cho thí sinh (nếu có)</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Trung bình</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UC-XT-03</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điểm thi / phỏng vấn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Hội đồng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Nhập điểm xét tuyển của thí sinh</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UC-XT-04</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Phúc khảo kết quả thi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 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Xử lý yêu cầu phúc khảo, cập nhật điểm nếu có thay đổi</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Trung bình</w:t>
            </w:r>
          </w:p>
        </w:tc>
      </w:tr>
    </w:tbl>
    <w:p>
      <w:pPr>
        <w:pStyle w:val="Heading3"/>
        <w:spacing w:after="120" w:before="240"/>
      </w:pPr>
      <w:r>
        <w:rPr>
          <w:rFonts w:ascii="Times New Roman" w:cs="Times New Roman" w:eastAsia="Times New Roman" w:hAnsi="Times New Roman"/>
          <w:b/>
          <w:bCs/>
          <w:sz w:val="22"/>
          <w:szCs w:val="22"/>
        </w:rPr>
        <w:t xml:space="preserve">4.5. Nhóm E — Xét trúng tuyển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3600"/>
        <w:gridCol w:w="1000"/>
      </w:tblGrid>
      <w:tr>
        <w:trPr>
          <w:tblHeader/>
        </w:trPr>
        <w:tc>
          <w:tcPr>
            <w:tcW w:type="dxa" w:w="13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w:t>
            </w:r>
          </w:p>
        </w:tc>
        <w:tc>
          <w:tcPr>
            <w:tcW w:type="dxa" w:w="2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1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Actor chính</w:t>
            </w:r>
          </w:p>
        </w:tc>
        <w:tc>
          <w:tcPr>
            <w:tcW w:type="dxa" w:w="3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 ngắn</w:t>
            </w:r>
          </w:p>
        </w:tc>
        <w:tc>
          <w:tcPr>
            <w:tcW w:type="dxa" w:w="1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Ưu tiên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UC-TT-01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Tính điểm chuẩn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 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Tính điểm chuẩn theo ngành/chỉ tiêu</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UC-TT-02</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Xếp hạng thí sinh</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Xếp hạng thí sinh theo điểm xét tuyển</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UC-TT-03</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Lập danh sách dự bị</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Lập danh sách thí sinh dự bị khi chưa đủ chỉ tiêu</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Trung bình</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UC-TT-04</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Duyệt danh sách trúng tuyển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 Lãnh đạo Khoa/Viện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Phê duyệt danh sách trúng tuyển chính thức</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UC-TT-05</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Công bố kết quả</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Công bố kết quả xét tuyển cho thí sinh</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bl>
    <w:p>
      <w:pPr>
        <w:pStyle w:val="Heading3"/>
        <w:spacing w:after="120" w:before="240"/>
      </w:pPr>
      <w:r>
        <w:rPr>
          <w:rFonts w:ascii="Times New Roman" w:cs="Times New Roman" w:eastAsia="Times New Roman" w:hAnsi="Times New Roman"/>
          <w:b/>
          <w:bCs/>
          <w:sz w:val="22"/>
          <w:szCs w:val="22"/>
        </w:rPr>
        <w:t xml:space="preserve">4.6. Nhóm F — Ra quyết định &amp; nhập học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3600"/>
        <w:gridCol w:w="1000"/>
      </w:tblGrid>
      <w:tr>
        <w:trPr>
          <w:tblHeader/>
        </w:trPr>
        <w:tc>
          <w:tcPr>
            <w:tcW w:type="dxa" w:w="13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w:t>
            </w:r>
          </w:p>
        </w:tc>
        <w:tc>
          <w:tcPr>
            <w:tcW w:type="dxa" w:w="2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1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Actor chính</w:t>
            </w:r>
          </w:p>
        </w:tc>
        <w:tc>
          <w:tcPr>
            <w:tcW w:type="dxa" w:w="3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 ngắn</w:t>
            </w:r>
          </w:p>
        </w:tc>
        <w:tc>
          <w:tcPr>
            <w:tcW w:type="dxa" w:w="1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Ưu tiên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UC-QD-01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Sinh quyết định trúng tuyển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Tạo quyết định từ mẫu + danh sách trúng tuyển</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UC-QD-02</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Ký số quyết định trúng tuyển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Lãnh đạo Khoa/Viện, Hệ thống Ký số</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Ký số điện tử quyết định trúng tuyển</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UC-QD-03</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Xác nhận nhập học online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 xác nhận nhập học qua hệ thống</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UC-QD-04</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Nộp bản chính hồ sơ</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Thí sinh, 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Nộp và đối chiếu bản chính khi nhập học</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UC-QD-05</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Xác nhận nhập học thành công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Cán bộ tuyển sinh</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Ghi nhận hoàn tất nhập học, chuyển hồ sơ sang phân hệ Đào tạo</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Cao</w:t>
            </w:r>
          </w:p>
        </w:tc>
      </w:tr>
    </w:tbl>
    <w:p>
      <w:pPr>
        <w:pStyle w:val="Heading3"/>
        <w:spacing w:after="120" w:before="240"/>
      </w:pPr>
      <w:r>
        <w:rPr>
          <w:rFonts w:ascii="Times New Roman" w:cs="Times New Roman" w:eastAsia="Times New Roman" w:hAnsi="Times New Roman"/>
          <w:b/>
          <w:bCs/>
          <w:sz w:val="22"/>
          <w:szCs w:val="22"/>
        </w:rPr>
        <w:t xml:space="preserve">4.7. Nhóm dùng chung (cross-cutting, được &lt;&lt;include&gt;&gt; bởi các use case khác)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3600"/>
        <w:gridCol w:w="1000"/>
      </w:tblGrid>
      <w:tr>
        <w:trPr>
          <w:tblHeader/>
        </w:trPr>
        <w:tc>
          <w:tcPr>
            <w:tcW w:type="dxa" w:w="13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w:t>
            </w:r>
          </w:p>
        </w:tc>
        <w:tc>
          <w:tcPr>
            <w:tcW w:type="dxa" w:w="2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Tên Use Case</w:t>
            </w:r>
          </w:p>
        </w:tc>
        <w:tc>
          <w:tcPr>
            <w:tcW w:type="dxa" w:w="1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Actor chính</w:t>
            </w:r>
          </w:p>
        </w:tc>
        <w:tc>
          <w:tcPr>
            <w:tcW w:type="dxa" w:w="3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Mô tả ngắn</w:t>
            </w:r>
          </w:p>
        </w:tc>
        <w:tc>
          <w:tcPr>
            <w:tcW w:type="dxa" w:w="1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Ưu tiên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UC-CC-01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Đăng nhập hệ thống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Tất cả actor</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Included bởi hầu hết use case</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UC-CC-02</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Gửi OTP xác thực</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 Gửi OTP</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Included bởi UC-DK-01 và các thao tác nhạy cảm</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UC-CC-03</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Gửi thông báo (email/SMS)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Hệ thống Gửi OTP/Thông báo</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Included bởi các UC làm thay đổi trạng thái hồ sơ</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w:t>
            </w:r>
          </w:p>
        </w:tc>
      </w:tr>
    </w:tbl>
    <w:p>
      <w:pPr>
        <w:pStyle w:val="Heading1"/>
        <w:spacing w:after="160" w:before="280"/>
      </w:pPr>
      <w:r>
        <w:rPr>
          <w:rFonts w:ascii="Times New Roman" w:cs="Times New Roman" w:eastAsia="Times New Roman" w:hAnsi="Times New Roman"/>
          <w:b/>
          <w:bCs/>
          <w:sz w:val="28"/>
          <w:szCs w:val="28"/>
        </w:rPr>
        <w:t xml:space="preserve">5. ĐẶC TẢ CHI TIẾT CÁC USE CASE TRỌNG TÂM</w:t>
      </w:r>
    </w:p>
    <w:p>
      <w:pPr>
        <w:pBdr>
          <w:bottom w:val="single" w:color="444444" w:sz="6"/>
        </w:pBdr>
        <w:spacing w:after="120" w:before="280"/>
      </w:pPr>
      <w:r>
        <w:rPr>
          <w:rFonts w:ascii="Times New Roman" w:cs="Times New Roman" w:eastAsia="Times New Roman" w:hAnsi="Times New Roman"/>
          <w:b/>
          <w:bCs/>
          <w:sz w:val="24"/>
          <w:szCs w:val="24"/>
        </w:rPr>
        <w:t xml:space="preserve">UC-CC-01 — Đăng nhập hệ thống</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Tất cả actor (thí sinh và nội bộ)</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Đã có tài khoản (thí sinh tự đăng ký qua UC-DK-01, hoặc do Quản trị hệ thống cấp)</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Nhập tài khoản/mật khẩu → (2) Hệ thống xác thực → (3) Xác định vai trò, hiển thị giao diện tương ứng → (4) Ghi log đăng nhập</w:t>
      </w:r>
    </w:p>
    <w:p>
      <w:pPr>
        <w:spacing w:after="100"/>
      </w:pPr>
      <w:r>
        <w:rPr>
          <w:rFonts w:ascii="Times New Roman" w:cs="Times New Roman" w:eastAsia="Times New Roman" w:hAnsi="Times New Roman"/>
          <w:b/>
          <w:bCs/>
          <w:sz w:val="22"/>
          <w:szCs w:val="22"/>
        </w:rPr>
        <w:t xml:space="preserve">Luồng thay thế: </w:t>
      </w:r>
      <w:r>
        <w:rPr>
          <w:rFonts w:ascii="Times New Roman" w:cs="Times New Roman" w:eastAsia="Times New Roman" w:hAnsi="Times New Roman"/>
          <w:sz w:val="22"/>
          <w:szCs w:val="22"/>
        </w:rPr>
        <w:t xml:space="preserve">Quên mật khẩu → đặt lại qua email đã đăng ký</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Sai quá N lần → tạm khóa tài khoản</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Actor có phiên làm việc đúng phân quyền</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SC-03, SC-05, TC-07, NFR-02</w:t>
      </w:r>
    </w:p>
    <w:p>
      <w:pPr>
        <w:pBdr>
          <w:bottom w:val="single" w:color="444444" w:sz="6"/>
        </w:pBdr>
        <w:spacing w:after="120" w:before="280"/>
      </w:pPr>
      <w:r>
        <w:rPr>
          <w:rFonts w:ascii="Times New Roman" w:cs="Times New Roman" w:eastAsia="Times New Roman" w:hAnsi="Times New Roman"/>
          <w:b/>
          <w:bCs/>
          <w:sz w:val="24"/>
          <w:szCs w:val="24"/>
        </w:rPr>
        <w:t xml:space="preserve">UC-DK-01 — Đăng ký tài khoản thí sinh</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Thí sinh</w:t>
      </w:r>
    </w:p>
    <w:p>
      <w:pPr>
        <w:spacing w:after="100"/>
      </w:pPr>
      <w:r>
        <w:rPr>
          <w:rFonts w:ascii="Times New Roman" w:cs="Times New Roman" w:eastAsia="Times New Roman" w:hAnsi="Times New Roman"/>
          <w:b/>
          <w:bCs/>
          <w:sz w:val="22"/>
          <w:szCs w:val="22"/>
        </w:rPr>
        <w:t xml:space="preserve">Actor phụ: </w:t>
      </w:r>
      <w:r>
        <w:rPr>
          <w:rFonts w:ascii="Times New Roman" w:cs="Times New Roman" w:eastAsia="Times New Roman" w:hAnsi="Times New Roman"/>
          <w:sz w:val="22"/>
          <w:szCs w:val="22"/>
        </w:rPr>
        <w:t xml:space="preserve">Hệ thống Gửi OTP</w:t>
      </w:r>
    </w:p>
    <w:p>
      <w:pPr>
        <w:spacing w:after="100"/>
      </w:pPr>
      <w:r>
        <w:rPr>
          <w:rFonts w:ascii="Times New Roman" w:cs="Times New Roman" w:eastAsia="Times New Roman" w:hAnsi="Times New Roman"/>
          <w:b/>
          <w:bCs/>
          <w:sz w:val="22"/>
          <w:szCs w:val="22"/>
        </w:rPr>
        <w:t xml:space="preserve">Include: </w:t>
      </w:r>
      <w:r>
        <w:rPr>
          <w:rFonts w:ascii="Times New Roman" w:cs="Times New Roman" w:eastAsia="Times New Roman" w:hAnsi="Times New Roman"/>
          <w:sz w:val="22"/>
          <w:szCs w:val="22"/>
        </w:rPr>
        <w:t xml:space="preserve">UC-CC-02 (gửi OTP xác thực)</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Đợt tuyển sinh đang mở cổng đăng ký</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Thí sinh nhập email/số điện thoại + thông tin cơ bản → (2) Hệ thống gửi OTP xác thực → (3) Thí sinh nhập OTP → (4) Hệ thống tạo tài khoản → (5) Ghi log</w:t>
      </w:r>
    </w:p>
    <w:p>
      <w:pPr>
        <w:spacing w:after="100"/>
      </w:pPr>
      <w:r>
        <w:rPr>
          <w:rFonts w:ascii="Times New Roman" w:cs="Times New Roman" w:eastAsia="Times New Roman" w:hAnsi="Times New Roman"/>
          <w:b/>
          <w:bCs/>
          <w:sz w:val="22"/>
          <w:szCs w:val="22"/>
        </w:rPr>
        <w:t xml:space="preserve">Luồng thay thế: </w:t>
      </w:r>
      <w:r>
        <w:rPr>
          <w:rFonts w:ascii="Times New Roman" w:cs="Times New Roman" w:eastAsia="Times New Roman" w:hAnsi="Times New Roman"/>
          <w:sz w:val="22"/>
          <w:szCs w:val="22"/>
        </w:rPr>
        <w:t xml:space="preserve">Không nhận được OTP → yêu cầu gửi lại (giới hạn số lần)</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Email/số điện thoại đã tồn tại → từ chối, gợi ý đăng nhập hoặc khôi phục mật khẩu</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Thí sinh có tài khoản để kê khai hồ sơ</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SC-03, TC-07, NFR-02</w:t>
      </w:r>
    </w:p>
    <w:p>
      <w:pPr>
        <w:pBdr>
          <w:bottom w:val="single" w:color="444444" w:sz="6"/>
        </w:pBdr>
        <w:spacing w:after="120" w:before="280"/>
      </w:pPr>
      <w:r>
        <w:rPr>
          <w:rFonts w:ascii="Times New Roman" w:cs="Times New Roman" w:eastAsia="Times New Roman" w:hAnsi="Times New Roman"/>
          <w:b/>
          <w:bCs/>
          <w:sz w:val="24"/>
          <w:szCs w:val="24"/>
        </w:rPr>
        <w:t xml:space="preserve">UC-DK-05 — Thanh toán lệ phí xét tuyển</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Thí sinh</w:t>
      </w:r>
    </w:p>
    <w:p>
      <w:pPr>
        <w:spacing w:after="100"/>
      </w:pPr>
      <w:r>
        <w:rPr>
          <w:rFonts w:ascii="Times New Roman" w:cs="Times New Roman" w:eastAsia="Times New Roman" w:hAnsi="Times New Roman"/>
          <w:b/>
          <w:bCs/>
          <w:sz w:val="22"/>
          <w:szCs w:val="22"/>
        </w:rPr>
        <w:t xml:space="preserve">Actor phụ: </w:t>
      </w:r>
      <w:r>
        <w:rPr>
          <w:rFonts w:ascii="Times New Roman" w:cs="Times New Roman" w:eastAsia="Times New Roman" w:hAnsi="Times New Roman"/>
          <w:sz w:val="22"/>
          <w:szCs w:val="22"/>
        </w:rPr>
        <w:t xml:space="preserve">Hệ thống Thanh toán</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Hồ sơ đã kê khai đầy đủ thông tin bắt buộc</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Thí sinh chọn phương thức thanh toán → (2) Hệ thống chuyển tới cổng thanh toán → (3) Thí sinh xác nhận giao dịch → (4) Hệ thống nhận kết quả từ cổng thanh toán → (5) Cập nhật trạng thái đã đóng lệ phí → (6) Xuất biên lai điện tử → (7) Ghi log</w:t>
      </w:r>
    </w:p>
    <w:p>
      <w:pPr>
        <w:spacing w:after="100"/>
      </w:pPr>
      <w:r>
        <w:rPr>
          <w:rFonts w:ascii="Times New Roman" w:cs="Times New Roman" w:eastAsia="Times New Roman" w:hAnsi="Times New Roman"/>
          <w:b/>
          <w:bCs/>
          <w:sz w:val="22"/>
          <w:szCs w:val="22"/>
        </w:rPr>
        <w:t xml:space="preserve">Luồng thay thế: </w:t>
      </w:r>
      <w:r>
        <w:rPr>
          <w:rFonts w:ascii="Times New Roman" w:cs="Times New Roman" w:eastAsia="Times New Roman" w:hAnsi="Times New Roman"/>
          <w:sz w:val="22"/>
          <w:szCs w:val="22"/>
        </w:rPr>
        <w:t xml:space="preserve">Giao dịch treo (chưa có phản hồi) → hệ thống tự động đối soát định kỳ</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Giao dịch thất bại → giữ trạng thái chưa thanh toán, cho phép thử lại</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Hồ sơ đủ điều kiện được nộp chính thức (UC-DK-06)</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SC-05, DC-03, TC-07</w:t>
      </w:r>
    </w:p>
    <w:p>
      <w:pPr>
        <w:pBdr>
          <w:bottom w:val="single" w:color="444444" w:sz="6"/>
        </w:pBdr>
        <w:spacing w:after="120" w:before="280"/>
      </w:pPr>
      <w:r>
        <w:rPr>
          <w:rFonts w:ascii="Times New Roman" w:cs="Times New Roman" w:eastAsia="Times New Roman" w:hAnsi="Times New Roman"/>
          <w:b/>
          <w:bCs/>
          <w:sz w:val="24"/>
          <w:szCs w:val="24"/>
        </w:rPr>
        <w:t xml:space="preserve">UC-TD-03 — Duyệt / Từ chối hồ sơ</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Cán bộ tuyển sinh</w:t>
      </w:r>
    </w:p>
    <w:p>
      <w:pPr>
        <w:spacing w:after="100"/>
      </w:pPr>
      <w:r>
        <w:rPr>
          <w:rFonts w:ascii="Times New Roman" w:cs="Times New Roman" w:eastAsia="Times New Roman" w:hAnsi="Times New Roman"/>
          <w:b/>
          <w:bCs/>
          <w:sz w:val="22"/>
          <w:szCs w:val="22"/>
        </w:rPr>
        <w:t xml:space="preserve">Include: </w:t>
      </w:r>
      <w:r>
        <w:rPr>
          <w:rFonts w:ascii="Times New Roman" w:cs="Times New Roman" w:eastAsia="Times New Roman" w:hAnsi="Times New Roman"/>
          <w:sz w:val="22"/>
          <w:szCs w:val="22"/>
        </w:rPr>
        <w:t xml:space="preserve">UC-CC-02 (nếu cần xác thực thao tác nhạy cảm)</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Hồ sơ đã nộp đầy đủ, đã qua kiểm tra điều kiện tự động (UC-TD-01)</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Xem danh sách hồ sơ chờ duyệt → (2) Hệ thống hiển thị thông tin + kết quả tự kiểm tra điều kiện → (3) Cán bộ đối chiếu minh chứng, duyệt/từ chối kèm ghi chú → (4) Cập nhật trạng thái hồ sơ → (5) Gửi thông báo cho thí sinh → (6) Ghi log</w:t>
      </w:r>
    </w:p>
    <w:p>
      <w:pPr>
        <w:spacing w:after="100"/>
      </w:pPr>
      <w:r>
        <w:rPr>
          <w:rFonts w:ascii="Times New Roman" w:cs="Times New Roman" w:eastAsia="Times New Roman" w:hAnsi="Times New Roman"/>
          <w:b/>
          <w:bCs/>
          <w:sz w:val="22"/>
          <w:szCs w:val="22"/>
        </w:rPr>
        <w:t xml:space="preserve">Luồng thay thế: </w:t>
      </w:r>
      <w:r>
        <w:rPr>
          <w:rFonts w:ascii="Times New Roman" w:cs="Times New Roman" w:eastAsia="Times New Roman" w:hAnsi="Times New Roman"/>
          <w:sz w:val="22"/>
          <w:szCs w:val="22"/>
        </w:rPr>
        <w:t xml:space="preserve">Hồ sơ thiếu minh chứng → chuyển UC-TD-02 (yêu cầu bổ sung) thay vì từ chối ngay</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Không đủ điều kiện đầu vào theo Điều 6 TT 53 → tự động cảnh báo, đề xuất từ chối</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Hồ sơ hợp lệ được đưa vào danh sách xét tuyển (UC-TD-04); hồ sơ bị từ chối được lưu vết kèm lý do</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NFR-11 (Thông tư 53/2026), SC-03, TC-07</w:t>
      </w:r>
    </w:p>
    <w:p>
      <w:pPr>
        <w:pBdr>
          <w:bottom w:val="single" w:color="444444" w:sz="6"/>
        </w:pBdr>
        <w:spacing w:after="120" w:before="280"/>
      </w:pPr>
      <w:r>
        <w:rPr>
          <w:rFonts w:ascii="Times New Roman" w:cs="Times New Roman" w:eastAsia="Times New Roman" w:hAnsi="Times New Roman"/>
          <w:b/>
          <w:bCs/>
          <w:sz w:val="24"/>
          <w:szCs w:val="24"/>
        </w:rPr>
        <w:t xml:space="preserve">UC-XT-01 — Xếp phòng thi &amp; số báo danh</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Cán bộ tuyển sinh</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Danh sách thí sinh đủ điều kiện xét tuyển đã chốt (UC-TD-04)</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Chọn đợt/ngành cần xếp phòng → (2) Hệ thống gợi ý phân phòng theo sức chứa → (3) Cán bộ điều chỉnh, xác nhận → (4) Hệ thống sinh số báo danh → (5) Gửi thông báo giấy báo dự thi cho thí sinh → (6) Ghi log</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Số thí sinh vượt sức chứa phòng hiện có → cảnh báo, yêu cầu bổ sung phòng/ca thi</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Thí sinh có số báo danh và phòng thi, sẵn sàng tổ chức thi/phỏng vấn</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SC-03, TC-07</w:t>
      </w:r>
    </w:p>
    <w:p>
      <w:pPr>
        <w:pBdr>
          <w:bottom w:val="single" w:color="444444" w:sz="6"/>
        </w:pBdr>
        <w:spacing w:after="120" w:before="280"/>
      </w:pPr>
      <w:r>
        <w:rPr>
          <w:rFonts w:ascii="Times New Roman" w:cs="Times New Roman" w:eastAsia="Times New Roman" w:hAnsi="Times New Roman"/>
          <w:b/>
          <w:bCs/>
          <w:sz w:val="24"/>
          <w:szCs w:val="24"/>
        </w:rPr>
        <w:t xml:space="preserve">UC-XT-03 — Nhập điểm thi / phỏng vấn</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Hội đồng tuyển sinh</w:t>
      </w:r>
    </w:p>
    <w:p>
      <w:pPr>
        <w:spacing w:after="100"/>
      </w:pPr>
      <w:r>
        <w:rPr>
          <w:rFonts w:ascii="Times New Roman" w:cs="Times New Roman" w:eastAsia="Times New Roman" w:hAnsi="Times New Roman"/>
          <w:b/>
          <w:bCs/>
          <w:sz w:val="22"/>
          <w:szCs w:val="22"/>
        </w:rPr>
        <w:t xml:space="preserve">Actor phụ: </w:t>
      </w:r>
      <w:r>
        <w:rPr>
          <w:rFonts w:ascii="Times New Roman" w:cs="Times New Roman" w:eastAsia="Times New Roman" w:hAnsi="Times New Roman"/>
          <w:sz w:val="22"/>
          <w:szCs w:val="22"/>
        </w:rPr>
        <w:t xml:space="preserve">Cán bộ tuyển sinh</w:t>
      </w:r>
    </w:p>
    <w:p>
      <w:pPr>
        <w:spacing w:after="100"/>
      </w:pPr>
      <w:r>
        <w:rPr>
          <w:rFonts w:ascii="Times New Roman" w:cs="Times New Roman" w:eastAsia="Times New Roman" w:hAnsi="Times New Roman"/>
          <w:b/>
          <w:bCs/>
          <w:sz w:val="22"/>
          <w:szCs w:val="22"/>
        </w:rPr>
        <w:t xml:space="preserve">Include: </w:t>
      </w:r>
      <w:r>
        <w:rPr>
          <w:rFonts w:ascii="Times New Roman" w:cs="Times New Roman" w:eastAsia="Times New Roman" w:hAnsi="Times New Roman"/>
          <w:sz w:val="22"/>
          <w:szCs w:val="22"/>
        </w:rPr>
        <w:t xml:space="preserve">UC-CC-02</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Đã tổ chức thi/phỏng vấn cho thí sinh liên quan</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Chọn thí sinh + môn thi/hình thức → (2) Hệ thống hiển thị form theo thang điểm cấu hình → (3) Nhập điểm + nhận xét → (4) Hệ thống kiểm tra hợp lệ → (5) Xác nhận lưu → (6) Ghi lịch sử thay đổi → (7) Thông báo khi có điểm chính thức</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Điểm ngoài khoảng hợp lệ → từ chối lưu</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Thí sinh có điểm chính thức, làm căn cứ tính điểm chuẩn (UC-TT-01)</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DC-03, TC-07, NFR-02</w:t>
      </w:r>
    </w:p>
    <w:p>
      <w:pPr>
        <w:pBdr>
          <w:bottom w:val="single" w:color="444444" w:sz="6"/>
        </w:pBdr>
        <w:spacing w:after="120" w:before="280"/>
      </w:pPr>
      <w:r>
        <w:rPr>
          <w:rFonts w:ascii="Times New Roman" w:cs="Times New Roman" w:eastAsia="Times New Roman" w:hAnsi="Times New Roman"/>
          <w:b/>
          <w:bCs/>
          <w:sz w:val="24"/>
          <w:szCs w:val="24"/>
        </w:rPr>
        <w:t xml:space="preserve">UC-TT-01 — Tính điểm chuẩn</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Cán bộ tuyển sinh</w:t>
      </w:r>
    </w:p>
    <w:p>
      <w:pPr>
        <w:spacing w:after="100"/>
      </w:pPr>
      <w:r>
        <w:rPr>
          <w:rFonts w:ascii="Times New Roman" w:cs="Times New Roman" w:eastAsia="Times New Roman" w:hAnsi="Times New Roman"/>
          <w:b/>
          <w:bCs/>
          <w:sz w:val="22"/>
          <w:szCs w:val="22"/>
        </w:rPr>
        <w:t xml:space="preserve">Actor phụ: </w:t>
      </w:r>
      <w:r>
        <w:rPr>
          <w:rFonts w:ascii="Times New Roman" w:cs="Times New Roman" w:eastAsia="Times New Roman" w:hAnsi="Times New Roman"/>
          <w:sz w:val="22"/>
          <w:szCs w:val="22"/>
        </w:rPr>
        <w:t xml:space="preserve">Hệ thống (tự động tính toán)</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Toàn bộ điểm thi/xét tuyển liên quan đã nhập đầy đủ</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Chọn ngành/đợt cần tính điểm chuẩn → (2) Hệ thống tổng hợp điểm và chỉ tiêu → (3) Đề xuất điểm chuẩn theo thuật toán cấu hình → (4) Cán bộ rà soát, điều chỉnh nếu cần → (5) Xác nhận điểm chuẩn → (6) Ghi log</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Số thí sinh đạt điểm chuẩn đề xuất vượt/thiếu nhiều so với chỉ tiêu → cảnh báo, đề xuất điều chỉnh</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Điểm chuẩn được chốt, làm căn cứ xếp hạng (UC-TT-02)</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NFR-11, TC-07</w:t>
      </w:r>
    </w:p>
    <w:p>
      <w:pPr>
        <w:pBdr>
          <w:bottom w:val="single" w:color="444444" w:sz="6"/>
        </w:pBdr>
        <w:spacing w:after="120" w:before="280"/>
      </w:pPr>
      <w:r>
        <w:rPr>
          <w:rFonts w:ascii="Times New Roman" w:cs="Times New Roman" w:eastAsia="Times New Roman" w:hAnsi="Times New Roman"/>
          <w:b/>
          <w:bCs/>
          <w:sz w:val="24"/>
          <w:szCs w:val="24"/>
        </w:rPr>
        <w:t xml:space="preserve">UC-TT-04 — Duyệt danh sách trúng tuyển</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Cán bộ tuyển sinh</w:t>
      </w:r>
    </w:p>
    <w:p>
      <w:pPr>
        <w:spacing w:after="100"/>
      </w:pPr>
      <w:r>
        <w:rPr>
          <w:rFonts w:ascii="Times New Roman" w:cs="Times New Roman" w:eastAsia="Times New Roman" w:hAnsi="Times New Roman"/>
          <w:b/>
          <w:bCs/>
          <w:sz w:val="22"/>
          <w:szCs w:val="22"/>
        </w:rPr>
        <w:t xml:space="preserve">Actor phụ: </w:t>
      </w:r>
      <w:r>
        <w:rPr>
          <w:rFonts w:ascii="Times New Roman" w:cs="Times New Roman" w:eastAsia="Times New Roman" w:hAnsi="Times New Roman"/>
          <w:sz w:val="22"/>
          <w:szCs w:val="22"/>
        </w:rPr>
        <w:t xml:space="preserve">Lãnh đạo Khoa/Viện</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Đã có điểm chuẩn và xếp hạng thí sinh (UC-TT-01, UC-TT-02)</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Hệ thống đề xuất danh sách trúng tuyển theo điểm chuẩn và chỉ tiêu → (2) Cán bộ rà soát → (3) Trình Lãnh đạo Khoa/Viện phê duyệt → (4) Lãnh đạo duyệt/yêu cầu điều chỉnh → (5) Chốt danh sách chính thức → (6) Ghi log</w:t>
      </w:r>
    </w:p>
    <w:p>
      <w:pPr>
        <w:spacing w:after="100"/>
      </w:pPr>
      <w:r>
        <w:rPr>
          <w:rFonts w:ascii="Times New Roman" w:cs="Times New Roman" w:eastAsia="Times New Roman" w:hAnsi="Times New Roman"/>
          <w:b/>
          <w:bCs/>
          <w:sz w:val="22"/>
          <w:szCs w:val="22"/>
        </w:rPr>
        <w:t xml:space="preserve">Luồng thay thế: </w:t>
      </w:r>
      <w:r>
        <w:rPr>
          <w:rFonts w:ascii="Times New Roman" w:cs="Times New Roman" w:eastAsia="Times New Roman" w:hAnsi="Times New Roman"/>
          <w:sz w:val="22"/>
          <w:szCs w:val="22"/>
        </w:rPr>
        <w:t xml:space="preserve">Thí sinh trúng tuyển không xác nhận trong thời hạn → tự động chuyển suất cho danh sách dự bị</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Danh sách chưa đủ chỉ tiêu → bổ sung từ danh sách dự bị (UC-TT-03)</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Danh sách trúng tuyển chính thức, sẵn sàng công bố (UC-TT-05) và tạo quyết định (UC-QD-01)</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NFR-11, SC-08, TC-07</w:t>
      </w:r>
    </w:p>
    <w:p>
      <w:pPr>
        <w:pBdr>
          <w:bottom w:val="single" w:color="444444" w:sz="6"/>
        </w:pBdr>
        <w:spacing w:after="120" w:before="280"/>
      </w:pPr>
      <w:r>
        <w:rPr>
          <w:rFonts w:ascii="Times New Roman" w:cs="Times New Roman" w:eastAsia="Times New Roman" w:hAnsi="Times New Roman"/>
          <w:b/>
          <w:bCs/>
          <w:sz w:val="24"/>
          <w:szCs w:val="24"/>
        </w:rPr>
        <w:t xml:space="preserve">UC-QD-02 — Ký số quyết định trúng tuyển</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Lãnh đạo Khoa/Viện</w:t>
      </w:r>
    </w:p>
    <w:p>
      <w:pPr>
        <w:spacing w:after="100"/>
      </w:pPr>
      <w:r>
        <w:rPr>
          <w:rFonts w:ascii="Times New Roman" w:cs="Times New Roman" w:eastAsia="Times New Roman" w:hAnsi="Times New Roman"/>
          <w:b/>
          <w:bCs/>
          <w:sz w:val="22"/>
          <w:szCs w:val="22"/>
        </w:rPr>
        <w:t xml:space="preserve">Actor phụ: </w:t>
      </w:r>
      <w:r>
        <w:rPr>
          <w:rFonts w:ascii="Times New Roman" w:cs="Times New Roman" w:eastAsia="Times New Roman" w:hAnsi="Times New Roman"/>
          <w:sz w:val="22"/>
          <w:szCs w:val="22"/>
        </w:rPr>
        <w:t xml:space="preserve">Hệ thống Ký số</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Quyết định trúng tuyển đã được soạn và rà soát (UC-QD-01), ở trạng thái “Chờ ký”</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Mở quyết định chờ ký → (2) Hệ thống gửi yêu cầu tới dịch vụ ký số → (3) Người ký xác thực (OTP/token/HSM) → (4) Nhận văn bản đã ký + thông tin xác thực → (5) Cập nhật trạng thái “Đã ký”, khóa nội dung → (6) Ghi log</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Ký số thất bại (lỗi kết nối/chứng thư hết hạn) → báo lỗi, giữ trạng thái “Chờ ký”, cho thử lại</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Quyết định trúng tuyển có hiệu lực pháp lý, sẵn sàng ban hành và gửi thí sinh</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SC-05, NFR-11, TC-07</w:t>
      </w:r>
    </w:p>
    <w:p>
      <w:pPr>
        <w:pBdr>
          <w:bottom w:val="single" w:color="444444" w:sz="6"/>
        </w:pBdr>
        <w:spacing w:after="120" w:before="280"/>
      </w:pPr>
      <w:r>
        <w:rPr>
          <w:rFonts w:ascii="Times New Roman" w:cs="Times New Roman" w:eastAsia="Times New Roman" w:hAnsi="Times New Roman"/>
          <w:b/>
          <w:bCs/>
          <w:sz w:val="24"/>
          <w:szCs w:val="24"/>
        </w:rPr>
        <w:t xml:space="preserve">UC-QD-03 — Xác nhận nhập học online</w:t>
      </w:r>
    </w:p>
    <w:p>
      <w:pPr>
        <w:spacing w:after="100"/>
      </w:pPr>
      <w:r>
        <w:rPr>
          <w:rFonts w:ascii="Times New Roman" w:cs="Times New Roman" w:eastAsia="Times New Roman" w:hAnsi="Times New Roman"/>
          <w:b/>
          <w:bCs/>
          <w:sz w:val="22"/>
          <w:szCs w:val="22"/>
        </w:rPr>
        <w:t xml:space="preserve">Actor chính: </w:t>
      </w:r>
      <w:r>
        <w:rPr>
          <w:rFonts w:ascii="Times New Roman" w:cs="Times New Roman" w:eastAsia="Times New Roman" w:hAnsi="Times New Roman"/>
          <w:sz w:val="22"/>
          <w:szCs w:val="22"/>
        </w:rPr>
        <w:t xml:space="preserve">Thí sinh</w:t>
      </w:r>
    </w:p>
    <w:p>
      <w:pPr>
        <w:spacing w:after="100"/>
      </w:pPr>
      <w:r>
        <w:rPr>
          <w:rFonts w:ascii="Times New Roman" w:cs="Times New Roman" w:eastAsia="Times New Roman" w:hAnsi="Times New Roman"/>
          <w:b/>
          <w:bCs/>
          <w:sz w:val="22"/>
          <w:szCs w:val="22"/>
        </w:rPr>
        <w:t xml:space="preserve">Điều kiện tiên quyết: </w:t>
      </w:r>
      <w:r>
        <w:rPr>
          <w:rFonts w:ascii="Times New Roman" w:cs="Times New Roman" w:eastAsia="Times New Roman" w:hAnsi="Times New Roman"/>
          <w:sz w:val="22"/>
          <w:szCs w:val="22"/>
        </w:rPr>
        <w:t xml:space="preserve">Đã nhận quyết định trúng tuyển đã ký số (UC-QD-02)</w:t>
      </w:r>
    </w:p>
    <w:p>
      <w:pPr>
        <w:spacing w:after="100"/>
      </w:pPr>
      <w:r>
        <w:rPr>
          <w:rFonts w:ascii="Times New Roman" w:cs="Times New Roman" w:eastAsia="Times New Roman" w:hAnsi="Times New Roman"/>
          <w:b/>
          <w:bCs/>
          <w:sz w:val="22"/>
          <w:szCs w:val="22"/>
        </w:rPr>
        <w:t xml:space="preserve">Luồng chính: </w:t>
      </w:r>
      <w:r>
        <w:rPr>
          <w:rFonts w:ascii="Times New Roman" w:cs="Times New Roman" w:eastAsia="Times New Roman" w:hAnsi="Times New Roman"/>
          <w:sz w:val="22"/>
          <w:szCs w:val="22"/>
        </w:rPr>
        <w:t xml:space="preserve">(1) Thí sinh đăng nhập, xem quyết định trúng tuyển → (2) Xác nhận nhập học trong thời hạn quy định → (3) Hệ thống cập nhật trạng thái đã xác nhận → (4) Nhắc lịch nộp bản chính → (5) Ghi log</w:t>
      </w:r>
    </w:p>
    <w:p>
      <w:pPr>
        <w:spacing w:after="100"/>
      </w:pPr>
      <w:r>
        <w:rPr>
          <w:rFonts w:ascii="Times New Roman" w:cs="Times New Roman" w:eastAsia="Times New Roman" w:hAnsi="Times New Roman"/>
          <w:b/>
          <w:bCs/>
          <w:sz w:val="22"/>
          <w:szCs w:val="22"/>
        </w:rPr>
        <w:t xml:space="preserve">Ngoại lệ: </w:t>
      </w:r>
      <w:r>
        <w:rPr>
          <w:rFonts w:ascii="Times New Roman" w:cs="Times New Roman" w:eastAsia="Times New Roman" w:hAnsi="Times New Roman"/>
          <w:sz w:val="22"/>
          <w:szCs w:val="22"/>
        </w:rPr>
        <w:t xml:space="preserve">Quá thời hạn xác nhận → hệ thống tự động chuyển trạng thái “từ chối nhập học”, cảnh báo cán bộ để xét bổ sung từ danh sách dự bị</w:t>
      </w:r>
    </w:p>
    <w:p>
      <w:pPr>
        <w:spacing w:after="100"/>
      </w:pPr>
      <w:r>
        <w:rPr>
          <w:rFonts w:ascii="Times New Roman" w:cs="Times New Roman" w:eastAsia="Times New Roman" w:hAnsi="Times New Roman"/>
          <w:b/>
          <w:bCs/>
          <w:sz w:val="22"/>
          <w:szCs w:val="22"/>
        </w:rPr>
        <w:t xml:space="preserve">Hậu điều kiện: </w:t>
      </w:r>
      <w:r>
        <w:rPr>
          <w:rFonts w:ascii="Times New Roman" w:cs="Times New Roman" w:eastAsia="Times New Roman" w:hAnsi="Times New Roman"/>
          <w:sz w:val="22"/>
          <w:szCs w:val="22"/>
        </w:rPr>
        <w:t xml:space="preserve">Thí sinh giữ chỗ nhập học, chờ nộp bản chính (UC-QD-04)</w:t>
      </w:r>
    </w:p>
    <w:p>
      <w:pPr>
        <w:spacing w:after="100"/>
      </w:pPr>
      <w:r>
        <w:rPr>
          <w:rFonts w:ascii="Times New Roman" w:cs="Times New Roman" w:eastAsia="Times New Roman" w:hAnsi="Times New Roman"/>
          <w:b/>
          <w:bCs/>
          <w:sz w:val="22"/>
          <w:szCs w:val="22"/>
        </w:rPr>
        <w:t xml:space="preserve">Ràng buộc liên quan: </w:t>
      </w:r>
      <w:r>
        <w:rPr>
          <w:rFonts w:ascii="Times New Roman" w:cs="Times New Roman" w:eastAsia="Times New Roman" w:hAnsi="Times New Roman"/>
          <w:sz w:val="22"/>
          <w:szCs w:val="22"/>
        </w:rPr>
        <w:t xml:space="preserve">SC-05, TC-07</w:t>
      </w:r>
    </w:p>
    <w:sectPr>
      <w:headerReference w:type="default" r:id="rId7"/>
      <w:footerReference w:type="default" r:id="rId8"/>
      <w:pgSz w:w="11907" w:h="16840"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jc w:val="center"/>
    </w:pPr>
    <w:r>
      <w:rPr>
        <w:rFonts w:ascii="Times New Roman" w:cs="Times New Roman" w:eastAsia="Times New Roman" w:hAnsi="Times New Roman"/>
        <w:i/>
        <w:iCs/>
        <w:color w:val="666666"/>
        <w:sz w:val="18"/>
        <w:szCs w:val="18"/>
      </w:rPr>
      <w:t xml:space="preserve">Hệ thống Quản lý Tuyển sinh Sau đại học — Đặc tả Use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dc1ade74813b20eb8e2ac16af2b727431db19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2026-09-18T09:26:59.062Z</dcterms:created>
  <dcterms:modified xsi:type="dcterms:W3CDTF">2026-09-18T09:26:59.074Z</dcterms:modified>
</cp:coreProperties>
</file>

<file path=docProps/custom.xml><?xml version="1.0" encoding="utf-8"?>
<Properties xmlns="http://schemas.openxmlformats.org/officeDocument/2006/custom-properties" xmlns:vt="http://schemas.openxmlformats.org/officeDocument/2006/docPropsVTypes"/>
</file>